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32C1E">
      <w:pPr>
        <w:rPr>
          <w:rFonts w:ascii="Times New Roman" w:hAnsi="Times New Roman" w:eastAsia="黑体" w:cs="Times New Roman"/>
        </w:rPr>
        <w:sectPr>
          <w:headerReference r:id="rId5" w:type="default"/>
          <w:footerReference r:id="rId7" w:type="default"/>
          <w:headerReference r:id="rId6" w:type="even"/>
          <w:footerReference r:id="rId8" w:type="even"/>
          <w:pgSz w:w="11906" w:h="16838"/>
          <w:pgMar w:top="567" w:right="1418" w:bottom="1134" w:left="1418" w:header="1418" w:footer="992" w:gutter="0"/>
          <w:cols w:space="425" w:num="1"/>
          <w:titlePg/>
          <w:docGrid w:type="lines" w:linePitch="312" w:charSpace="0"/>
        </w:sectPr>
      </w:pPr>
      <w:r>
        <w:rPr>
          <w:rFonts w:ascii="Times New Roman" w:hAnsi="Times New Roman" w:cs="Times New Roman"/>
        </w:rPr>
        <mc:AlternateContent>
          <mc:Choice Requires="wpg">
            <w:drawing>
              <wp:anchor distT="0" distB="0" distL="114300" distR="114300" simplePos="0" relativeHeight="251659264" behindDoc="0" locked="0" layoutInCell="1" allowOverlap="1">
                <wp:simplePos x="0" y="0"/>
                <wp:positionH relativeFrom="column">
                  <wp:posOffset>1905</wp:posOffset>
                </wp:positionH>
                <wp:positionV relativeFrom="paragraph">
                  <wp:posOffset>12700</wp:posOffset>
                </wp:positionV>
                <wp:extent cx="5819775" cy="9538335"/>
                <wp:effectExtent l="0" t="0" r="9525" b="5715"/>
                <wp:wrapSquare wrapText="bothSides"/>
                <wp:docPr id="2" name="组合 2"/>
                <wp:cNvGraphicFramePr/>
                <a:graphic xmlns:a="http://schemas.openxmlformats.org/drawingml/2006/main">
                  <a:graphicData uri="http://schemas.microsoft.com/office/word/2010/wordprocessingGroup">
                    <wpg:wgp>
                      <wpg:cNvGrpSpPr/>
                      <wpg:grpSpPr>
                        <a:xfrm>
                          <a:off x="0" y="0"/>
                          <a:ext cx="5819775" cy="9538335"/>
                          <a:chOff x="0" y="0"/>
                          <a:chExt cx="5820270" cy="9548393"/>
                        </a:xfrm>
                      </wpg:grpSpPr>
                      <wps:wsp>
                        <wps:cNvPr id="217" name="文本框 2"/>
                        <wps:cNvSpPr txBox="1">
                          <a:spLocks noChangeArrowheads="1"/>
                        </wps:cNvSpPr>
                        <wps:spPr bwMode="auto">
                          <a:xfrm>
                            <a:off x="0" y="0"/>
                            <a:ext cx="2360715" cy="497193"/>
                          </a:xfrm>
                          <a:prstGeom prst="rect">
                            <a:avLst/>
                          </a:prstGeom>
                          <a:noFill/>
                          <a:ln w="9525">
                            <a:noFill/>
                            <a:miter lim="800000"/>
                          </a:ln>
                        </wps:spPr>
                        <wps:txbx>
                          <w:txbxContent>
                            <w:p w14:paraId="05B55293">
                              <w:pPr>
                                <w:spacing w:line="240" w:lineRule="auto"/>
                                <w:outlineLvl w:val="0"/>
                                <w:rPr>
                                  <w:rFonts w:ascii="黑体" w:hAnsi="Times New Roman" w:eastAsia="黑体"/>
                                </w:rPr>
                              </w:pPr>
                              <w:r>
                                <w:rPr>
                                  <w:rFonts w:ascii="黑体" w:hAnsi="Times New Roman" w:eastAsia="黑体"/>
                                </w:rPr>
                                <w:t>ICS</w:t>
                              </w:r>
                              <w:r>
                                <w:rPr>
                                  <w:rFonts w:ascii="黑体" w:hAnsi="Times New Roman" w:eastAsia="黑体" w:cs="Times New Roman"/>
                                  <w:spacing w:val="10"/>
                                </w:rPr>
                                <w:t xml:space="preserve"> xx.xx</w:t>
                              </w:r>
                            </w:p>
                            <w:p w14:paraId="32E55CCB">
                              <w:pPr>
                                <w:spacing w:line="240" w:lineRule="auto"/>
                                <w:rPr>
                                  <w:rFonts w:ascii="黑体" w:hAnsi="Times New Roman" w:eastAsia="黑体"/>
                                </w:rPr>
                              </w:pPr>
                              <w:r>
                                <w:rPr>
                                  <w:rFonts w:hint="eastAsia" w:ascii="黑体" w:hAnsi="Times New Roman" w:eastAsia="黑体" w:cs="Times New Roman"/>
                                </w:rPr>
                                <w:t>L</w:t>
                              </w:r>
                              <w:r>
                                <w:rPr>
                                  <w:rFonts w:ascii="黑体" w:hAnsi="Times New Roman" w:eastAsia="黑体" w:cs="Times New Roman"/>
                                </w:rPr>
                                <w:t xml:space="preserve"> xx.xx</w:t>
                              </w:r>
                            </w:p>
                          </w:txbxContent>
                        </wps:txbx>
                        <wps:bodyPr rot="0" vert="horz" wrap="square" lIns="91440" tIns="45720" rIns="91440" bIns="45720" anchor="t" anchorCtr="0">
                          <a:spAutoFit/>
                        </wps:bodyPr>
                      </wps:wsp>
                      <wps:wsp>
                        <wps:cNvPr id="82" name="文本框 2"/>
                        <wps:cNvSpPr txBox="1">
                          <a:spLocks noChangeArrowheads="1"/>
                        </wps:cNvSpPr>
                        <wps:spPr bwMode="auto">
                          <a:xfrm>
                            <a:off x="12357" y="840259"/>
                            <a:ext cx="5734050" cy="892810"/>
                          </a:xfrm>
                          <a:prstGeom prst="rect">
                            <a:avLst/>
                          </a:prstGeom>
                          <a:noFill/>
                          <a:ln w="9525">
                            <a:noFill/>
                            <a:miter lim="800000"/>
                          </a:ln>
                        </wps:spPr>
                        <wps:txbx>
                          <w:txbxContent>
                            <w:p w14:paraId="55FD830A">
                              <w:pPr>
                                <w:spacing w:line="240" w:lineRule="auto"/>
                                <w:jc w:val="distribute"/>
                                <w:rPr>
                                  <w:rFonts w:ascii="黑体" w:hAnsi="黑体" w:eastAsia="黑体"/>
                                  <w:sz w:val="84"/>
                                  <w:szCs w:val="84"/>
                                </w:rPr>
                              </w:pPr>
                              <w:r>
                                <w:rPr>
                                  <w:rFonts w:hint="eastAsia" w:ascii="黑体" w:hAnsi="黑体" w:eastAsia="黑体"/>
                                  <w:sz w:val="84"/>
                                  <w:szCs w:val="84"/>
                                </w:rPr>
                                <w:t>团体标准</w:t>
                              </w:r>
                            </w:p>
                          </w:txbxContent>
                        </wps:txbx>
                        <wps:bodyPr rot="0" vert="horz" wrap="square" lIns="91440" tIns="45720" rIns="91440" bIns="45720" anchor="ctr" anchorCtr="0">
                          <a:spAutoFit/>
                        </wps:bodyPr>
                      </wps:wsp>
                      <wps:wsp>
                        <wps:cNvPr id="83" name="文本框 2"/>
                        <wps:cNvSpPr txBox="1">
                          <a:spLocks noChangeArrowheads="1"/>
                        </wps:cNvSpPr>
                        <wps:spPr bwMode="auto">
                          <a:xfrm>
                            <a:off x="2792372" y="1643356"/>
                            <a:ext cx="3027898" cy="481991"/>
                          </a:xfrm>
                          <a:prstGeom prst="rect">
                            <a:avLst/>
                          </a:prstGeom>
                          <a:noFill/>
                          <a:ln w="9525">
                            <a:noFill/>
                            <a:miter lim="800000"/>
                          </a:ln>
                        </wps:spPr>
                        <wps:txbx>
                          <w:txbxContent>
                            <w:p w14:paraId="27E13CAC">
                              <w:pPr>
                                <w:spacing w:line="300" w:lineRule="exact"/>
                                <w:jc w:val="right"/>
                                <w:rPr>
                                  <w:rFonts w:ascii="黑体" w:hAnsi="Times New Roman" w:eastAsia="黑体" w:cs="Times New Roman"/>
                                  <w:sz w:val="28"/>
                                </w:rPr>
                              </w:pPr>
                            </w:p>
                            <w:p w14:paraId="5C1B663A">
                              <w:pPr>
                                <w:spacing w:line="300" w:lineRule="exact"/>
                                <w:jc w:val="right"/>
                                <w:rPr>
                                  <w:rFonts w:ascii="黑体" w:hAnsi="Times New Roman" w:eastAsia="黑体" w:cs="Times New Roman"/>
                                  <w:spacing w:val="10"/>
                                  <w:sz w:val="28"/>
                                </w:rPr>
                              </w:pPr>
                              <w:r>
                                <w:rPr>
                                  <w:rFonts w:hint="eastAsia" w:ascii="黑体" w:hAnsi="Times New Roman" w:eastAsia="黑体" w:cs="Times New Roman"/>
                                  <w:sz w:val="28"/>
                                </w:rPr>
                                <w:t>T/C</w:t>
                              </w:r>
                              <w:r>
                                <w:rPr>
                                  <w:rFonts w:ascii="黑体" w:hAnsi="Times New Roman" w:eastAsia="黑体" w:cs="Times New Roman"/>
                                  <w:sz w:val="28"/>
                                </w:rPr>
                                <w:t>ECC</w:t>
                              </w:r>
                              <w:r>
                                <w:rPr>
                                  <w:rFonts w:hint="eastAsia" w:ascii="黑体" w:hAnsi="Times New Roman" w:eastAsia="黑体"/>
                                  <w:sz w:val="28"/>
                                </w:rPr>
                                <w:t xml:space="preserve"> </w:t>
                              </w:r>
                              <w:r>
                                <w:rPr>
                                  <w:rFonts w:ascii="黑体" w:hAnsi="Times New Roman" w:eastAsia="黑体" w:cs="Times New Roman"/>
                                  <w:spacing w:val="10"/>
                                  <w:sz w:val="28"/>
                                </w:rPr>
                                <w:t>XXXX</w:t>
                              </w:r>
                              <w:r>
                                <w:rPr>
                                  <w:rFonts w:hint="eastAsia" w:ascii="黑体" w:hAnsi="Times New Roman" w:eastAsia="黑体" w:cs="Times New Roman"/>
                                  <w:spacing w:val="10"/>
                                  <w:sz w:val="28"/>
                                </w:rPr>
                                <w:t>—</w:t>
                              </w:r>
                              <w:r>
                                <w:rPr>
                                  <w:rFonts w:ascii="黑体" w:hAnsi="Times New Roman" w:eastAsia="黑体" w:cs="Times New Roman"/>
                                  <w:spacing w:val="10"/>
                                  <w:sz w:val="28"/>
                                </w:rPr>
                                <w:t>XXXX</w:t>
                              </w:r>
                            </w:p>
                          </w:txbxContent>
                        </wps:txbx>
                        <wps:bodyPr rot="0" vert="horz" wrap="square" lIns="91440" tIns="45720" rIns="91440" bIns="45720" anchor="ctr" anchorCtr="0">
                          <a:spAutoFit/>
                        </wps:bodyPr>
                      </wps:wsp>
                      <wps:wsp>
                        <wps:cNvPr id="85" name="文本框 2"/>
                        <wps:cNvSpPr txBox="1">
                          <a:spLocks noChangeArrowheads="1"/>
                        </wps:cNvSpPr>
                        <wps:spPr bwMode="auto">
                          <a:xfrm>
                            <a:off x="12357" y="3249827"/>
                            <a:ext cx="5733415" cy="4312920"/>
                          </a:xfrm>
                          <a:prstGeom prst="rect">
                            <a:avLst/>
                          </a:prstGeom>
                          <a:solidFill>
                            <a:srgbClr val="FFFFFF"/>
                          </a:solidFill>
                          <a:ln w="9525">
                            <a:noFill/>
                            <a:miter lim="800000"/>
                          </a:ln>
                        </wps:spPr>
                        <wps:txbx>
                          <w:txbxContent>
                            <w:p w14:paraId="466EF145">
                              <w:pPr>
                                <w:spacing w:before="156" w:beforeLines="50" w:after="156" w:afterLines="50" w:line="240" w:lineRule="auto"/>
                                <w:jc w:val="center"/>
                                <w:rPr>
                                  <w:rFonts w:ascii="Times New Roman" w:hAnsi="Times New Roman" w:eastAsia="黑体"/>
                                  <w:sz w:val="48"/>
                                  <w:szCs w:val="48"/>
                                </w:rPr>
                              </w:pPr>
                            </w:p>
                            <w:p w14:paraId="74BEC0EA">
                              <w:pPr>
                                <w:spacing w:before="156" w:beforeLines="50" w:after="156" w:afterLines="50" w:line="240" w:lineRule="auto"/>
                                <w:jc w:val="center"/>
                                <w:rPr>
                                  <w:rFonts w:ascii="Times New Roman" w:hAnsi="Times New Roman" w:eastAsia="黑体"/>
                                  <w:sz w:val="36"/>
                                </w:rPr>
                              </w:pPr>
                              <w:r>
                                <w:rPr>
                                  <w:rFonts w:hint="eastAsia" w:ascii="Times New Roman" w:hAnsi="Times New Roman" w:eastAsia="黑体"/>
                                  <w:sz w:val="48"/>
                                  <w:szCs w:val="48"/>
                                </w:rPr>
                                <w:t>电化学储能电站安全风险预警技术规范</w:t>
                              </w:r>
                              <w:r>
                                <w:rPr>
                                  <w:rFonts w:ascii="Times New Roman" w:hAnsi="Times New Roman" w:eastAsia="黑体"/>
                                  <w:sz w:val="36"/>
                                </w:rPr>
                                <w:t>Technical specification for safety risk early warning of electrochemical storage power stations</w:t>
                              </w:r>
                            </w:p>
                          </w:txbxContent>
                        </wps:txbx>
                        <wps:bodyPr rot="0" vert="horz" wrap="square" lIns="91440" tIns="45720" rIns="91440" bIns="45720" anchor="t" anchorCtr="0">
                          <a:noAutofit/>
                        </wps:bodyPr>
                      </wps:wsp>
                      <wps:wsp>
                        <wps:cNvPr id="86" name="文本框 2"/>
                        <wps:cNvSpPr txBox="1">
                          <a:spLocks noChangeArrowheads="1"/>
                        </wps:cNvSpPr>
                        <wps:spPr bwMode="auto">
                          <a:xfrm>
                            <a:off x="0" y="8699156"/>
                            <a:ext cx="2303145" cy="353695"/>
                          </a:xfrm>
                          <a:prstGeom prst="rect">
                            <a:avLst/>
                          </a:prstGeom>
                          <a:noFill/>
                          <a:ln w="9525">
                            <a:noFill/>
                            <a:miter lim="800000"/>
                          </a:ln>
                        </wps:spPr>
                        <wps:txbx>
                          <w:txbxContent>
                            <w:p w14:paraId="3A140E84">
                              <w:pPr>
                                <w:jc w:val="left"/>
                                <w:rPr>
                                  <w:rFonts w:ascii="黑体" w:hAnsi="Times New Roman" w:eastAsia="黑体"/>
                                  <w:sz w:val="30"/>
                                </w:rPr>
                              </w:pPr>
                              <w:r>
                                <w:rPr>
                                  <w:rFonts w:ascii="黑体" w:hAnsi="Times New Roman" w:eastAsia="黑体"/>
                                  <w:sz w:val="30"/>
                                </w:rPr>
                                <w:t xml:space="preserve">XXXX-XX-XX </w:t>
                              </w:r>
                              <w:r>
                                <w:rPr>
                                  <w:rFonts w:hint="eastAsia" w:ascii="黑体" w:hAnsi="Times New Roman" w:eastAsia="黑体"/>
                                  <w:sz w:val="30"/>
                                </w:rPr>
                                <w:t>发布</w:t>
                              </w:r>
                            </w:p>
                          </w:txbxContent>
                        </wps:txbx>
                        <wps:bodyPr rot="0" vert="horz" wrap="square" lIns="91440" tIns="45720" rIns="91440" bIns="45720" anchor="t" anchorCtr="0">
                          <a:spAutoFit/>
                        </wps:bodyPr>
                      </wps:wsp>
                      <wps:wsp>
                        <wps:cNvPr id="88" name="文本框 2"/>
                        <wps:cNvSpPr txBox="1">
                          <a:spLocks noChangeArrowheads="1"/>
                        </wps:cNvSpPr>
                        <wps:spPr bwMode="auto">
                          <a:xfrm>
                            <a:off x="3447535" y="8711513"/>
                            <a:ext cx="2303145" cy="353695"/>
                          </a:xfrm>
                          <a:prstGeom prst="rect">
                            <a:avLst/>
                          </a:prstGeom>
                          <a:noFill/>
                          <a:ln w="9525">
                            <a:noFill/>
                            <a:miter lim="800000"/>
                          </a:ln>
                        </wps:spPr>
                        <wps:txbx>
                          <w:txbxContent>
                            <w:p w14:paraId="3F57301B">
                              <w:pPr>
                                <w:jc w:val="right"/>
                                <w:rPr>
                                  <w:rFonts w:ascii="黑体" w:hAnsi="Times New Roman" w:eastAsia="黑体"/>
                                  <w:sz w:val="30"/>
                                </w:rPr>
                              </w:pPr>
                              <w:r>
                                <w:rPr>
                                  <w:rFonts w:ascii="黑体" w:hAnsi="Times New Roman" w:eastAsia="黑体"/>
                                  <w:sz w:val="30"/>
                                </w:rPr>
                                <w:t xml:space="preserve">XXXX-XX-XX </w:t>
                              </w:r>
                              <w:r>
                                <w:rPr>
                                  <w:rFonts w:hint="eastAsia" w:ascii="黑体" w:hAnsi="Times New Roman" w:eastAsia="黑体"/>
                                  <w:sz w:val="30"/>
                                </w:rPr>
                                <w:t>实施</w:t>
                              </w:r>
                            </w:p>
                          </w:txbxContent>
                        </wps:txbx>
                        <wps:bodyPr rot="0" vert="horz" wrap="square" lIns="91440" tIns="45720" rIns="91440" bIns="45720" anchor="t" anchorCtr="0">
                          <a:spAutoFit/>
                        </wps:bodyPr>
                      </wps:wsp>
                      <wps:wsp>
                        <wps:cNvPr id="90" name="文本框 2"/>
                        <wps:cNvSpPr txBox="1">
                          <a:spLocks noChangeArrowheads="1"/>
                        </wps:cNvSpPr>
                        <wps:spPr bwMode="auto">
                          <a:xfrm>
                            <a:off x="1717589" y="9193409"/>
                            <a:ext cx="2303310" cy="354984"/>
                          </a:xfrm>
                          <a:prstGeom prst="rect">
                            <a:avLst/>
                          </a:prstGeom>
                          <a:noFill/>
                          <a:ln w="9525">
                            <a:noFill/>
                            <a:miter lim="800000"/>
                          </a:ln>
                        </wps:spPr>
                        <wps:txbx>
                          <w:txbxContent>
                            <w:p w14:paraId="2111C8AD">
                              <w:pPr>
                                <w:jc w:val="center"/>
                                <w:rPr>
                                  <w:rFonts w:ascii="Times New Roman" w:hAnsi="Times New Roman" w:eastAsia="黑体"/>
                                  <w:sz w:val="30"/>
                                </w:rPr>
                              </w:pPr>
                              <w:r>
                                <w:rPr>
                                  <w:rFonts w:hint="eastAsia" w:ascii="Times New Roman" w:hAnsi="Times New Roman" w:eastAsia="黑体"/>
                                  <w:sz w:val="30"/>
                                  <w:szCs w:val="30"/>
                                </w:rPr>
                                <w:t>中国电子商会 发布</w:t>
                              </w:r>
                            </w:p>
                          </w:txbxContent>
                        </wps:txbx>
                        <wps:bodyPr rot="0" vert="horz" wrap="square" lIns="91440" tIns="45720" rIns="91440" bIns="45720" anchor="t" anchorCtr="0">
                          <a:spAutoFit/>
                        </wps:bodyPr>
                      </wps:wsp>
                      <wps:wsp>
                        <wps:cNvPr id="84" name="直接连接符 84"/>
                        <wps:cNvCnPr/>
                        <wps:spPr>
                          <a:xfrm>
                            <a:off x="0" y="2310713"/>
                            <a:ext cx="575373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直接连接符 91"/>
                        <wps:cNvCnPr/>
                        <wps:spPr>
                          <a:xfrm>
                            <a:off x="0" y="9082216"/>
                            <a:ext cx="575373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0.15pt;margin-top:1pt;height:751.05pt;width:458.25pt;mso-wrap-distance-bottom:0pt;mso-wrap-distance-left:9pt;mso-wrap-distance-right:9pt;mso-wrap-distance-top:0pt;z-index:251659264;mso-width-relative:page;mso-height-relative:page;" coordsize="5820270,9548393" o:gfxdata="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">
                <o:lock v:ext="edit" aspectratio="f"/>
                <v:shape id="文本框 2" o:spid="_x0000_s1026" o:spt="202" type="#_x0000_t202" style="position:absolute;left:0;top:0;height:497193;width:2360715;" filled="f" stroked="f" coordsize="21600,21600" o:gfxdata="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f2qG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14:paraId="05B55293">
                        <w:pPr>
                          <w:spacing w:line="240" w:lineRule="auto"/>
                          <w:outlineLvl w:val="0"/>
                          <w:rPr>
                            <w:rFonts w:ascii="黑体" w:hAnsi="Times New Roman" w:eastAsia="黑体"/>
                          </w:rPr>
                        </w:pPr>
                        <w:r>
                          <w:rPr>
                            <w:rFonts w:ascii="黑体" w:hAnsi="Times New Roman" w:eastAsia="黑体"/>
                          </w:rPr>
                          <w:t>ICS</w:t>
                        </w:r>
                        <w:r>
                          <w:rPr>
                            <w:rFonts w:ascii="黑体" w:hAnsi="Times New Roman" w:eastAsia="黑体" w:cs="Times New Roman"/>
                            <w:spacing w:val="10"/>
                          </w:rPr>
                          <w:t xml:space="preserve"> xx.xx</w:t>
                        </w:r>
                      </w:p>
                      <w:p w14:paraId="32E55CCB">
                        <w:pPr>
                          <w:spacing w:line="240" w:lineRule="auto"/>
                          <w:rPr>
                            <w:rFonts w:ascii="黑体" w:hAnsi="Times New Roman" w:eastAsia="黑体"/>
                          </w:rPr>
                        </w:pPr>
                        <w:r>
                          <w:rPr>
                            <w:rFonts w:hint="eastAsia" w:ascii="黑体" w:hAnsi="Times New Roman" w:eastAsia="黑体" w:cs="Times New Roman"/>
                          </w:rPr>
                          <w:t>L</w:t>
                        </w:r>
                        <w:r>
                          <w:rPr>
                            <w:rFonts w:ascii="黑体" w:hAnsi="Times New Roman" w:eastAsia="黑体" w:cs="Times New Roman"/>
                          </w:rPr>
                          <w:t xml:space="preserve"> xx.xx</w:t>
                        </w:r>
                      </w:p>
                    </w:txbxContent>
                  </v:textbox>
                </v:shape>
                <v:shape id="文本框 2" o:spid="_x0000_s1026" o:spt="202" type="#_x0000_t202" style="position:absolute;left:12357;top:840259;height:892810;width:5734050;v-text-anchor:middle;" filled="f" stroked="f" coordsize="21600,21600" o:gfxdata="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Hf2E74A&#10;AADb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style="mso-fit-shape-to-text:t;">
                    <w:txbxContent>
                      <w:p w14:paraId="55FD830A">
                        <w:pPr>
                          <w:spacing w:line="240" w:lineRule="auto"/>
                          <w:jc w:val="distribute"/>
                          <w:rPr>
                            <w:rFonts w:ascii="黑体" w:hAnsi="黑体" w:eastAsia="黑体"/>
                            <w:sz w:val="84"/>
                            <w:szCs w:val="84"/>
                          </w:rPr>
                        </w:pPr>
                        <w:r>
                          <w:rPr>
                            <w:rFonts w:hint="eastAsia" w:ascii="黑体" w:hAnsi="黑体" w:eastAsia="黑体"/>
                            <w:sz w:val="84"/>
                            <w:szCs w:val="84"/>
                          </w:rPr>
                          <w:t>团体标准</w:t>
                        </w:r>
                      </w:p>
                    </w:txbxContent>
                  </v:textbox>
                </v:shape>
                <v:shape id="文本框 2" o:spid="_x0000_s1026" o:spt="202" type="#_x0000_t202" style="position:absolute;left:2792372;top:1643356;height:481991;width:3027898;v-text-anchor:middle;" filled="f" stroked="f" coordsize="21600,21600" o:gfxdata="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ztTiL4A&#10;AADb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style="mso-fit-shape-to-text:t;">
                    <w:txbxContent>
                      <w:p w14:paraId="27E13CAC">
                        <w:pPr>
                          <w:spacing w:line="300" w:lineRule="exact"/>
                          <w:jc w:val="right"/>
                          <w:rPr>
                            <w:rFonts w:ascii="黑体" w:hAnsi="Times New Roman" w:eastAsia="黑体" w:cs="Times New Roman"/>
                            <w:sz w:val="28"/>
                          </w:rPr>
                        </w:pPr>
                      </w:p>
                      <w:p w14:paraId="5C1B663A">
                        <w:pPr>
                          <w:spacing w:line="300" w:lineRule="exact"/>
                          <w:jc w:val="right"/>
                          <w:rPr>
                            <w:rFonts w:ascii="黑体" w:hAnsi="Times New Roman" w:eastAsia="黑体" w:cs="Times New Roman"/>
                            <w:spacing w:val="10"/>
                            <w:sz w:val="28"/>
                          </w:rPr>
                        </w:pPr>
                        <w:r>
                          <w:rPr>
                            <w:rFonts w:hint="eastAsia" w:ascii="黑体" w:hAnsi="Times New Roman" w:eastAsia="黑体" w:cs="Times New Roman"/>
                            <w:sz w:val="28"/>
                          </w:rPr>
                          <w:t>T/C</w:t>
                        </w:r>
                        <w:r>
                          <w:rPr>
                            <w:rFonts w:ascii="黑体" w:hAnsi="Times New Roman" w:eastAsia="黑体" w:cs="Times New Roman"/>
                            <w:sz w:val="28"/>
                          </w:rPr>
                          <w:t>ECC</w:t>
                        </w:r>
                        <w:r>
                          <w:rPr>
                            <w:rFonts w:hint="eastAsia" w:ascii="黑体" w:hAnsi="Times New Roman" w:eastAsia="黑体"/>
                            <w:sz w:val="28"/>
                          </w:rPr>
                          <w:t xml:space="preserve"> </w:t>
                        </w:r>
                        <w:r>
                          <w:rPr>
                            <w:rFonts w:ascii="黑体" w:hAnsi="Times New Roman" w:eastAsia="黑体" w:cs="Times New Roman"/>
                            <w:spacing w:val="10"/>
                            <w:sz w:val="28"/>
                          </w:rPr>
                          <w:t>XXXX</w:t>
                        </w:r>
                        <w:r>
                          <w:rPr>
                            <w:rFonts w:hint="eastAsia" w:ascii="黑体" w:hAnsi="Times New Roman" w:eastAsia="黑体" w:cs="Times New Roman"/>
                            <w:spacing w:val="10"/>
                            <w:sz w:val="28"/>
                          </w:rPr>
                          <w:t>—</w:t>
                        </w:r>
                        <w:r>
                          <w:rPr>
                            <w:rFonts w:ascii="黑体" w:hAnsi="Times New Roman" w:eastAsia="黑体" w:cs="Times New Roman"/>
                            <w:spacing w:val="10"/>
                            <w:sz w:val="28"/>
                          </w:rPr>
                          <w:t>XXXX</w:t>
                        </w:r>
                      </w:p>
                    </w:txbxContent>
                  </v:textbox>
                </v:shape>
                <v:shape id="文本框 2" o:spid="_x0000_s1026" o:spt="202" type="#_x0000_t202" style="position:absolute;left:12357;top:3249827;height:4312920;width:5733415;" fillcolor="#FFFFFF" filled="t" stroked="f" coordsize="21600,21600" o:gfxdata="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i+ebbgAAADbAAAA&#10;DwAAAAAAAAABACAAAAAiAAAAZHJzL2Rvd25yZXYueG1sUEsBAhQAFAAAAAgAh07iQDMvBZ47AAAA&#10;OQAAABAAAAAAAAAAAQAgAAAABwEAAGRycy9zaGFwZXhtbC54bWxQSwUGAAAAAAYABgBbAQAAsQMA&#10;AAAA&#10;">
                  <v:fill on="t" focussize="0,0"/>
                  <v:stroke on="f" miterlimit="8" joinstyle="miter"/>
                  <v:imagedata o:title=""/>
                  <o:lock v:ext="edit" aspectratio="f"/>
                  <v:textbox>
                    <w:txbxContent>
                      <w:p w14:paraId="466EF145">
                        <w:pPr>
                          <w:spacing w:before="156" w:beforeLines="50" w:after="156" w:afterLines="50" w:line="240" w:lineRule="auto"/>
                          <w:jc w:val="center"/>
                          <w:rPr>
                            <w:rFonts w:ascii="Times New Roman" w:hAnsi="Times New Roman" w:eastAsia="黑体"/>
                            <w:sz w:val="48"/>
                            <w:szCs w:val="48"/>
                          </w:rPr>
                        </w:pPr>
                      </w:p>
                      <w:p w14:paraId="74BEC0EA">
                        <w:pPr>
                          <w:spacing w:before="156" w:beforeLines="50" w:after="156" w:afterLines="50" w:line="240" w:lineRule="auto"/>
                          <w:jc w:val="center"/>
                          <w:rPr>
                            <w:rFonts w:ascii="Times New Roman" w:hAnsi="Times New Roman" w:eastAsia="黑体"/>
                            <w:sz w:val="36"/>
                          </w:rPr>
                        </w:pPr>
                        <w:r>
                          <w:rPr>
                            <w:rFonts w:hint="eastAsia" w:ascii="Times New Roman" w:hAnsi="Times New Roman" w:eastAsia="黑体"/>
                            <w:sz w:val="48"/>
                            <w:szCs w:val="48"/>
                          </w:rPr>
                          <w:t>电化学储能电站安全风险预警技术规范</w:t>
                        </w:r>
                        <w:r>
                          <w:rPr>
                            <w:rFonts w:ascii="Times New Roman" w:hAnsi="Times New Roman" w:eastAsia="黑体"/>
                            <w:sz w:val="36"/>
                          </w:rPr>
                          <w:t>Technical specification for safety risk early warning of electrochemical storage power stations</w:t>
                        </w:r>
                      </w:p>
                    </w:txbxContent>
                  </v:textbox>
                </v:shape>
                <v:shape id="文本框 2" o:spid="_x0000_s1026" o:spt="202" type="#_x0000_t202" style="position:absolute;left:0;top:8699156;height:353695;width:2303145;" filled="f" stroked="f" coordsize="21600,21600" o:gfxdata="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cX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14:paraId="3A140E84">
                        <w:pPr>
                          <w:jc w:val="left"/>
                          <w:rPr>
                            <w:rFonts w:ascii="黑体" w:hAnsi="Times New Roman" w:eastAsia="黑体"/>
                            <w:sz w:val="30"/>
                          </w:rPr>
                        </w:pPr>
                        <w:r>
                          <w:rPr>
                            <w:rFonts w:ascii="黑体" w:hAnsi="Times New Roman" w:eastAsia="黑体"/>
                            <w:sz w:val="30"/>
                          </w:rPr>
                          <w:t xml:space="preserve">XXXX-XX-XX </w:t>
                        </w:r>
                        <w:r>
                          <w:rPr>
                            <w:rFonts w:hint="eastAsia" w:ascii="黑体" w:hAnsi="Times New Roman" w:eastAsia="黑体"/>
                            <w:sz w:val="30"/>
                          </w:rPr>
                          <w:t>发布</w:t>
                        </w:r>
                      </w:p>
                    </w:txbxContent>
                  </v:textbox>
                </v:shape>
                <v:shape id="文本框 2" o:spid="_x0000_s1026" o:spt="202" type="#_x0000_t202" style="position:absolute;left:3447535;top:8711513;height:353695;width:2303145;" filled="f" stroked="f" coordsize="21600,21600" o:gfxdata="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8yttr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14:paraId="3F57301B">
                        <w:pPr>
                          <w:jc w:val="right"/>
                          <w:rPr>
                            <w:rFonts w:ascii="黑体" w:hAnsi="Times New Roman" w:eastAsia="黑体"/>
                            <w:sz w:val="30"/>
                          </w:rPr>
                        </w:pPr>
                        <w:r>
                          <w:rPr>
                            <w:rFonts w:ascii="黑体" w:hAnsi="Times New Roman" w:eastAsia="黑体"/>
                            <w:sz w:val="30"/>
                          </w:rPr>
                          <w:t xml:space="preserve">XXXX-XX-XX </w:t>
                        </w:r>
                        <w:r>
                          <w:rPr>
                            <w:rFonts w:hint="eastAsia" w:ascii="黑体" w:hAnsi="Times New Roman" w:eastAsia="黑体"/>
                            <w:sz w:val="30"/>
                          </w:rPr>
                          <w:t>实施</w:t>
                        </w:r>
                      </w:p>
                    </w:txbxContent>
                  </v:textbox>
                </v:shape>
                <v:shape id="文本框 2" o:spid="_x0000_s1026" o:spt="202" type="#_x0000_t202" style="position:absolute;left:1717589;top:9193409;height:354984;width:2303310;" filled="f" stroked="f" coordsize="21600,21600" o:gfxdata="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GM3b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14:paraId="2111C8AD">
                        <w:pPr>
                          <w:jc w:val="center"/>
                          <w:rPr>
                            <w:rFonts w:ascii="Times New Roman" w:hAnsi="Times New Roman" w:eastAsia="黑体"/>
                            <w:sz w:val="30"/>
                          </w:rPr>
                        </w:pPr>
                        <w:r>
                          <w:rPr>
                            <w:rFonts w:hint="eastAsia" w:ascii="Times New Roman" w:hAnsi="Times New Roman" w:eastAsia="黑体"/>
                            <w:sz w:val="30"/>
                            <w:szCs w:val="30"/>
                          </w:rPr>
                          <w:t>中国电子商会 发布</w:t>
                        </w:r>
                      </w:p>
                    </w:txbxContent>
                  </v:textbox>
                </v:shape>
                <v:line id="_x0000_s1026" o:spid="_x0000_s1026" o:spt="20" style="position:absolute;left:0;top:2310713;height:0;width:5753735;" filled="f" stroked="t" coordsize="21600,21600" o:gfxdata="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Kj59vQAA&#10;ANsAAAAPAAAAAAAAAAEAIAAAACIAAABkcnMvZG93bnJldi54bWxQSwECFAAUAAAACACHTuJAMy8F&#10;njsAAAA5AAAAEAAAAAAAAAABACAAAAAMAQAAZHJzL3NoYXBleG1sLnhtbFBLBQYAAAAABgAGAFsB&#10;AAC2AwAAAAA=&#10;">
                  <v:fill on="f" focussize="0,0"/>
                  <v:stroke weight="1.25pt" color="#000000 [3213]" miterlimit="8" joinstyle="miter"/>
                  <v:imagedata o:title=""/>
                  <o:lock v:ext="edit" aspectratio="f"/>
                </v:line>
                <v:line id="_x0000_s1026" o:spid="_x0000_s1026" o:spt="20" style="position:absolute;left:0;top:9082216;height:0;width:5753735;" filled="f" stroked="t" coordsize="21600,21600" o:gfxdata="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4QLOLsAAADb&#10;AAAADwAAAAAAAAABACAAAAAiAAAAZHJzL2Rvd25yZXYueG1sUEsBAhQAFAAAAAgAh07iQDMvBZ47&#10;AAAAOQAAABAAAAAAAAAAAQAgAAAACgEAAGRycy9zaGFwZXhtbC54bWxQSwUGAAAAAAYABgBbAQAA&#10;tAMAAAAA&#10;">
                  <v:fill on="f" focussize="0,0"/>
                  <v:stroke weight="1.25pt" color="#000000 [3213]" miterlimit="8" joinstyle="miter"/>
                  <v:imagedata o:title=""/>
                  <o:lock v:ext="edit" aspectratio="f"/>
                </v:line>
                <w10:wrap type="square"/>
              </v:group>
            </w:pict>
          </mc:Fallback>
        </mc:AlternateContent>
      </w:r>
    </w:p>
    <w:p w14:paraId="41736889">
      <w:pPr>
        <w:spacing w:line="240" w:lineRule="auto"/>
        <w:rPr>
          <w:rFonts w:ascii="Times New Roman" w:hAnsi="Times New Roman" w:cs="Times New Roman"/>
        </w:rPr>
      </w:pPr>
    </w:p>
    <w:p w14:paraId="6BBAAA21">
      <w:pPr>
        <w:pStyle w:val="47"/>
        <w:rPr>
          <w:rFonts w:ascii="Times New Roman" w:hAnsi="Times New Roman" w:cs="Times New Roman"/>
        </w:rPr>
      </w:pPr>
      <w:bookmarkStart w:id="0" w:name="_Toc130762908"/>
      <w:bookmarkStart w:id="1" w:name="_Toc1651879"/>
      <w:bookmarkStart w:id="2" w:name="_Toc942345"/>
      <w:bookmarkStart w:id="3" w:name="_Toc942016"/>
      <w:r>
        <w:rPr>
          <w:rFonts w:hint="eastAsia" w:ascii="Times New Roman" w:hAnsi="Times New Roman" w:cs="Times New Roman"/>
        </w:rPr>
        <w:t>目</w:t>
      </w:r>
      <w:r>
        <w:rPr>
          <w:rFonts w:ascii="Times New Roman" w:hAnsi="Times New Roman" w:cs="Times New Roman"/>
        </w:rPr>
        <w:t xml:space="preserve">    </w:t>
      </w:r>
      <w:r>
        <w:rPr>
          <w:rFonts w:hint="eastAsia" w:ascii="Times New Roman" w:hAnsi="Times New Roman" w:cs="Times New Roman"/>
        </w:rPr>
        <w:t>次</w:t>
      </w:r>
      <w:bookmarkEnd w:id="0"/>
      <w:bookmarkEnd w:id="1"/>
      <w:bookmarkEnd w:id="2"/>
      <w:bookmarkEnd w:id="3"/>
    </w:p>
    <w:p w14:paraId="7463118E">
      <w:pPr>
        <w:pStyle w:val="16"/>
        <w:rPr>
          <w:rFonts w:eastAsiaTheme="minorEastAsia"/>
          <w:szCs w:val="22"/>
        </w:rPr>
      </w:pPr>
      <w:r>
        <w:fldChar w:fldCharType="begin"/>
      </w:r>
      <w:r>
        <w:instrText xml:space="preserve"> TOC \h \z \t "</w:instrText>
      </w:r>
      <w:r>
        <w:rPr>
          <w:rFonts w:hint="eastAsia"/>
        </w:rPr>
        <w:instrText xml:space="preserve">章标题</w:instrText>
      </w:r>
      <w:r>
        <w:instrText xml:space="preserve">,1,</w:instrText>
      </w:r>
      <w:r>
        <w:rPr>
          <w:rFonts w:hint="eastAsia"/>
        </w:rPr>
        <w:instrText xml:space="preserve">目次、前言、引言</w:instrText>
      </w:r>
      <w:r>
        <w:instrText xml:space="preserve">,1,1</w:instrText>
      </w:r>
      <w:r>
        <w:rPr>
          <w:rFonts w:hint="eastAsia"/>
        </w:rPr>
        <w:instrText xml:space="preserve">章标题</w:instrText>
      </w:r>
      <w:r>
        <w:instrText xml:space="preserve">,1,</w:instrText>
      </w:r>
      <w:r>
        <w:rPr>
          <w:rFonts w:hint="eastAsia"/>
        </w:rPr>
        <w:instrText xml:space="preserve">标准文件</w:instrText>
      </w:r>
      <w:r>
        <w:instrText xml:space="preserve">_</w:instrText>
      </w:r>
      <w:r>
        <w:rPr>
          <w:rFonts w:hint="eastAsia"/>
        </w:rPr>
        <w:instrText xml:space="preserve">一级条标题</w:instrText>
      </w:r>
      <w:r>
        <w:instrText xml:space="preserve">,2,</w:instrText>
      </w:r>
      <w:r>
        <w:rPr>
          <w:rFonts w:hint="eastAsia"/>
        </w:rPr>
        <w:instrText xml:space="preserve">前言标题</w:instrText>
      </w:r>
      <w:r>
        <w:instrText xml:space="preserve">,1,</w:instrText>
      </w:r>
      <w:r>
        <w:rPr>
          <w:rFonts w:hint="eastAsia"/>
        </w:rPr>
        <w:instrText xml:space="preserve">一级条标题</w:instrText>
      </w:r>
      <w:r>
        <w:instrText xml:space="preserve">,2,</w:instrText>
      </w:r>
      <w:r>
        <w:rPr>
          <w:rFonts w:hint="eastAsia"/>
        </w:rPr>
        <w:instrText xml:space="preserve">附录标识</w:instrText>
      </w:r>
      <w:r>
        <w:instrText xml:space="preserve">,1,</w:instrText>
      </w:r>
      <w:r>
        <w:rPr>
          <w:rFonts w:hint="eastAsia"/>
        </w:rPr>
        <w:instrText xml:space="preserve">附录标题</w:instrText>
      </w:r>
      <w:r>
        <w:instrText xml:space="preserve">,1,</w:instrText>
      </w:r>
      <w:r>
        <w:rPr>
          <w:rFonts w:hint="eastAsia"/>
        </w:rPr>
        <w:instrText xml:space="preserve">附录章标题</w:instrText>
      </w:r>
      <w:r>
        <w:instrText xml:space="preserve">,2" </w:instrText>
      </w:r>
      <w:r>
        <w:fldChar w:fldCharType="separate"/>
      </w:r>
      <w:r>
        <w:fldChar w:fldCharType="begin"/>
      </w:r>
      <w:r>
        <w:instrText xml:space="preserve"> HYPERLINK \l "_Toc130762908" </w:instrText>
      </w:r>
      <w:r>
        <w:fldChar w:fldCharType="separate"/>
      </w:r>
      <w:r>
        <w:rPr>
          <w:rStyle w:val="26"/>
          <w:rFonts w:cs="Times New Roman"/>
        </w:rPr>
        <w:t>目    次</w:t>
      </w:r>
      <w:r>
        <w:tab/>
      </w:r>
      <w:r>
        <w:t xml:space="preserve"> </w:t>
      </w:r>
      <w:r>
        <w:fldChar w:fldCharType="begin"/>
      </w:r>
      <w:r>
        <w:instrText xml:space="preserve"> PAGEREF _Toc130762908 \h </w:instrText>
      </w:r>
      <w:r>
        <w:fldChar w:fldCharType="separate"/>
      </w:r>
      <w:r>
        <w:t>II</w:t>
      </w:r>
      <w:r>
        <w:fldChar w:fldCharType="end"/>
      </w:r>
      <w:r>
        <w:fldChar w:fldCharType="end"/>
      </w:r>
    </w:p>
    <w:p w14:paraId="7B7C01C6">
      <w:pPr>
        <w:pStyle w:val="16"/>
        <w:rPr>
          <w:rFonts w:eastAsiaTheme="minorEastAsia"/>
          <w:szCs w:val="22"/>
        </w:rPr>
      </w:pPr>
      <w:r>
        <w:fldChar w:fldCharType="begin"/>
      </w:r>
      <w:r>
        <w:instrText xml:space="preserve"> HYPERLINK \l "_Toc130762909" </w:instrText>
      </w:r>
      <w:r>
        <w:fldChar w:fldCharType="separate"/>
      </w:r>
      <w:r>
        <w:rPr>
          <w:rStyle w:val="26"/>
          <w:rFonts w:cs="Times New Roman"/>
        </w:rPr>
        <w:t>前    言</w:t>
      </w:r>
      <w:r>
        <w:tab/>
      </w:r>
      <w:r>
        <w:t xml:space="preserve"> </w:t>
      </w:r>
      <w:r>
        <w:fldChar w:fldCharType="begin"/>
      </w:r>
      <w:r>
        <w:instrText xml:space="preserve"> PAGEREF _Toc130762909 \h </w:instrText>
      </w:r>
      <w:r>
        <w:fldChar w:fldCharType="separate"/>
      </w:r>
      <w:r>
        <w:t>IV</w:t>
      </w:r>
      <w:r>
        <w:fldChar w:fldCharType="end"/>
      </w:r>
      <w:r>
        <w:fldChar w:fldCharType="end"/>
      </w:r>
    </w:p>
    <w:p w14:paraId="6D39BF84">
      <w:pPr>
        <w:pStyle w:val="16"/>
        <w:rPr>
          <w:rFonts w:eastAsiaTheme="minorEastAsia"/>
          <w:szCs w:val="22"/>
        </w:rPr>
      </w:pPr>
      <w:r>
        <w:fldChar w:fldCharType="begin"/>
      </w:r>
      <w:r>
        <w:instrText xml:space="preserve"> HYPERLINK \l "_Toc130762910" </w:instrText>
      </w:r>
      <w:r>
        <w:fldChar w:fldCharType="separate"/>
      </w:r>
      <w:r>
        <w:rPr>
          <w:rStyle w:val="26"/>
          <w:rFonts w:cs="Times New Roman"/>
        </w:rPr>
        <w:t>1 范围</w:t>
      </w:r>
      <w:r>
        <w:tab/>
      </w:r>
      <w:r>
        <w:fldChar w:fldCharType="begin"/>
      </w:r>
      <w:r>
        <w:instrText xml:space="preserve"> PAGEREF _Toc130762910 \h </w:instrText>
      </w:r>
      <w:r>
        <w:fldChar w:fldCharType="separate"/>
      </w:r>
      <w:r>
        <w:t>1</w:t>
      </w:r>
      <w:r>
        <w:fldChar w:fldCharType="end"/>
      </w:r>
      <w:r>
        <w:fldChar w:fldCharType="end"/>
      </w:r>
    </w:p>
    <w:p w14:paraId="41E35F5A">
      <w:pPr>
        <w:pStyle w:val="16"/>
        <w:rPr>
          <w:rFonts w:eastAsiaTheme="minorEastAsia"/>
          <w:szCs w:val="22"/>
        </w:rPr>
      </w:pPr>
      <w:r>
        <w:fldChar w:fldCharType="begin"/>
      </w:r>
      <w:r>
        <w:instrText xml:space="preserve"> HYPERLINK \l "_Toc130762911" </w:instrText>
      </w:r>
      <w:r>
        <w:fldChar w:fldCharType="separate"/>
      </w:r>
      <w:r>
        <w:rPr>
          <w:rStyle w:val="26"/>
          <w:rFonts w:cs="Times New Roman"/>
        </w:rPr>
        <w:t>2 规范性引用文件</w:t>
      </w:r>
      <w:r>
        <w:tab/>
      </w:r>
      <w:r>
        <w:fldChar w:fldCharType="begin"/>
      </w:r>
      <w:r>
        <w:instrText xml:space="preserve"> PAGEREF _Toc130762911 \h </w:instrText>
      </w:r>
      <w:r>
        <w:fldChar w:fldCharType="separate"/>
      </w:r>
      <w:r>
        <w:t>1</w:t>
      </w:r>
      <w:r>
        <w:fldChar w:fldCharType="end"/>
      </w:r>
      <w:r>
        <w:fldChar w:fldCharType="end"/>
      </w:r>
    </w:p>
    <w:p w14:paraId="16C1D5D0">
      <w:pPr>
        <w:pStyle w:val="16"/>
        <w:rPr>
          <w:rFonts w:eastAsiaTheme="minorEastAsia"/>
          <w:szCs w:val="22"/>
        </w:rPr>
      </w:pPr>
      <w:r>
        <w:fldChar w:fldCharType="begin"/>
      </w:r>
      <w:r>
        <w:instrText xml:space="preserve"> HYPERLINK \l "_Toc130762912" </w:instrText>
      </w:r>
      <w:r>
        <w:fldChar w:fldCharType="separate"/>
      </w:r>
      <w:r>
        <w:rPr>
          <w:rStyle w:val="26"/>
          <w:rFonts w:cs="Times New Roman"/>
        </w:rPr>
        <w:t>3 术语和定义</w:t>
      </w:r>
      <w:r>
        <w:tab/>
      </w:r>
      <w:r>
        <w:fldChar w:fldCharType="begin"/>
      </w:r>
      <w:r>
        <w:instrText xml:space="preserve"> PAGEREF _Toc130762912 \h </w:instrText>
      </w:r>
      <w:r>
        <w:fldChar w:fldCharType="separate"/>
      </w:r>
      <w:r>
        <w:t>1</w:t>
      </w:r>
      <w:r>
        <w:fldChar w:fldCharType="end"/>
      </w:r>
      <w:r>
        <w:fldChar w:fldCharType="end"/>
      </w:r>
    </w:p>
    <w:p w14:paraId="129B368E">
      <w:pPr>
        <w:pStyle w:val="16"/>
        <w:rPr>
          <w:rFonts w:eastAsiaTheme="minorEastAsia"/>
          <w:szCs w:val="22"/>
        </w:rPr>
      </w:pPr>
      <w:r>
        <w:fldChar w:fldCharType="begin"/>
      </w:r>
      <w:r>
        <w:instrText xml:space="preserve"> HYPERLINK \l "_Toc130762913" </w:instrText>
      </w:r>
      <w:r>
        <w:fldChar w:fldCharType="separate"/>
      </w:r>
      <w:r>
        <w:rPr>
          <w:rStyle w:val="26"/>
          <w:rFonts w:cs="Times New Roman"/>
        </w:rPr>
        <w:t>4 总则</w:t>
      </w:r>
      <w:r>
        <w:tab/>
      </w:r>
      <w:r>
        <w:fldChar w:fldCharType="begin"/>
      </w:r>
      <w:r>
        <w:instrText xml:space="preserve"> PAGEREF _Toc130762913 \h </w:instrText>
      </w:r>
      <w:r>
        <w:fldChar w:fldCharType="separate"/>
      </w:r>
      <w:r>
        <w:t>1</w:t>
      </w:r>
      <w:r>
        <w:fldChar w:fldCharType="end"/>
      </w:r>
      <w:r>
        <w:fldChar w:fldCharType="end"/>
      </w:r>
    </w:p>
    <w:p w14:paraId="70015886">
      <w:pPr>
        <w:pStyle w:val="16"/>
        <w:rPr>
          <w:rFonts w:eastAsiaTheme="minorEastAsia"/>
          <w:szCs w:val="22"/>
        </w:rPr>
      </w:pPr>
      <w:r>
        <w:fldChar w:fldCharType="begin"/>
      </w:r>
      <w:r>
        <w:instrText xml:space="preserve"> HYPERLINK \l "_Toc130762914" </w:instrText>
      </w:r>
      <w:r>
        <w:fldChar w:fldCharType="separate"/>
      </w:r>
      <w:r>
        <w:rPr>
          <w:rStyle w:val="26"/>
          <w:rFonts w:cs="Times New Roman"/>
        </w:rPr>
        <w:t>5 预警安全风险要素辨识</w:t>
      </w:r>
      <w:r>
        <w:tab/>
      </w:r>
      <w:r>
        <w:fldChar w:fldCharType="begin"/>
      </w:r>
      <w:r>
        <w:instrText xml:space="preserve"> PAGEREF _Toc130762914 \h </w:instrText>
      </w:r>
      <w:r>
        <w:fldChar w:fldCharType="separate"/>
      </w:r>
      <w:r>
        <w:t>2</w:t>
      </w:r>
      <w:r>
        <w:fldChar w:fldCharType="end"/>
      </w:r>
      <w:r>
        <w:fldChar w:fldCharType="end"/>
      </w:r>
    </w:p>
    <w:p w14:paraId="406996F6">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"_Toc130762915" </w:instrText>
      </w:r>
      <w:r>
        <w:fldChar w:fldCharType="separate"/>
      </w:r>
      <w:r>
        <w:rPr>
          <w:rStyle w:val="26"/>
          <w:rFonts w:ascii="Times New Roman" w:hAnsi="Times New Roman" w:cs="Times New Roman"/>
        </w:rPr>
        <w:t xml:space="preserve">5.1 </w:t>
      </w:r>
      <w:r>
        <w:rPr>
          <w:rStyle w:val="26"/>
          <w:rFonts w:hint="eastAsia" w:ascii="Times New Roman" w:hAnsi="Times New Roman" w:cs="Times New Roman"/>
        </w:rPr>
        <w:t>辨识方法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_Toc130762915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14:paraId="1ADCAFFD">
      <w:pPr>
        <w:pStyle w:val="16"/>
        <w:rPr>
          <w:rFonts w:eastAsiaTheme="minorEastAsia"/>
          <w:szCs w:val="22"/>
        </w:rPr>
      </w:pPr>
      <w:r>
        <w:fldChar w:fldCharType="begin"/>
      </w:r>
      <w:r>
        <w:instrText xml:space="preserve"> HYPERLINK \l "_Toc130762916" </w:instrText>
      </w:r>
      <w:r>
        <w:fldChar w:fldCharType="separate"/>
      </w:r>
      <w:r>
        <w:rPr>
          <w:rStyle w:val="26"/>
          <w:rFonts w:cs="Times New Roman"/>
        </w:rPr>
        <w:t>5.2 辨识内容</w:t>
      </w:r>
      <w:r>
        <w:tab/>
      </w:r>
      <w:r>
        <w:fldChar w:fldCharType="begin"/>
      </w:r>
      <w:r>
        <w:instrText xml:space="preserve"> PAGEREF _Toc130762916 \h </w:instrText>
      </w:r>
      <w:r>
        <w:fldChar w:fldCharType="separate"/>
      </w:r>
      <w:r>
        <w:t>2</w:t>
      </w:r>
      <w:r>
        <w:fldChar w:fldCharType="end"/>
      </w:r>
      <w:r>
        <w:fldChar w:fldCharType="end"/>
      </w:r>
    </w:p>
    <w:p w14:paraId="191D3C89">
      <w:pPr>
        <w:pStyle w:val="16"/>
        <w:rPr>
          <w:rFonts w:eastAsiaTheme="minorEastAsia"/>
          <w:szCs w:val="22"/>
        </w:rPr>
      </w:pPr>
      <w:r>
        <w:fldChar w:fldCharType="begin"/>
      </w:r>
      <w:r>
        <w:instrText xml:space="preserve"> HYPERLINK \l "_Toc130762917" </w:instrText>
      </w:r>
      <w:r>
        <w:fldChar w:fldCharType="separate"/>
      </w:r>
      <w:r>
        <w:rPr>
          <w:rStyle w:val="26"/>
          <w:rFonts w:cs="Times New Roman"/>
        </w:rPr>
        <w:t>6 预警安全风险要素监测</w:t>
      </w:r>
      <w:r>
        <w:tab/>
      </w:r>
      <w:r>
        <w:fldChar w:fldCharType="begin"/>
      </w:r>
      <w:r>
        <w:instrText xml:space="preserve"> PAGEREF _Toc130762917 \h </w:instrText>
      </w:r>
      <w:r>
        <w:fldChar w:fldCharType="separate"/>
      </w:r>
      <w:r>
        <w:t>4</w:t>
      </w:r>
      <w:r>
        <w:fldChar w:fldCharType="end"/>
      </w:r>
      <w:r>
        <w:fldChar w:fldCharType="end"/>
      </w:r>
    </w:p>
    <w:p w14:paraId="081D5E0E">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"_Toc130762918" </w:instrText>
      </w:r>
      <w:r>
        <w:fldChar w:fldCharType="separate"/>
      </w:r>
      <w:r>
        <w:rPr>
          <w:rStyle w:val="26"/>
          <w:rFonts w:ascii="Times New Roman" w:hAnsi="Times New Roman" w:cs="Times New Roman"/>
        </w:rPr>
        <w:t xml:space="preserve">6.1 </w:t>
      </w:r>
      <w:r>
        <w:rPr>
          <w:rStyle w:val="26"/>
          <w:rFonts w:hint="eastAsia" w:ascii="Times New Roman" w:hAnsi="Times New Roman" w:cs="Times New Roman"/>
        </w:rPr>
        <w:t>监测对象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_Toc130762918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24CBA223">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"_Toc130762919" </w:instrText>
      </w:r>
      <w:r>
        <w:fldChar w:fldCharType="separate"/>
      </w:r>
      <w:r>
        <w:rPr>
          <w:rStyle w:val="26"/>
          <w:rFonts w:ascii="Times New Roman" w:hAnsi="Times New Roman" w:cs="Times New Roman"/>
        </w:rPr>
        <w:t xml:space="preserve">6.2 </w:t>
      </w:r>
      <w:r>
        <w:rPr>
          <w:rStyle w:val="26"/>
          <w:rFonts w:hint="eastAsia" w:ascii="Times New Roman" w:hAnsi="Times New Roman" w:cs="Times New Roman"/>
        </w:rPr>
        <w:t>监测技术</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_Toc130762919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14:paraId="0809339F">
      <w:pPr>
        <w:pStyle w:val="16"/>
        <w:rPr>
          <w:rFonts w:eastAsiaTheme="minorEastAsia"/>
          <w:szCs w:val="22"/>
        </w:rPr>
      </w:pPr>
      <w:r>
        <w:fldChar w:fldCharType="begin"/>
      </w:r>
      <w:r>
        <w:instrText xml:space="preserve"> HYPERLINK \l "_Toc130762920" </w:instrText>
      </w:r>
      <w:r>
        <w:fldChar w:fldCharType="separate"/>
      </w:r>
      <w:r>
        <w:rPr>
          <w:rStyle w:val="26"/>
          <w:rFonts w:cs="Times New Roman"/>
        </w:rPr>
        <w:t>7 风险预警等级</w:t>
      </w:r>
      <w:r>
        <w:tab/>
      </w:r>
      <w:r>
        <w:fldChar w:fldCharType="begin"/>
      </w:r>
      <w:r>
        <w:instrText xml:space="preserve"> PAGEREF _Toc130762920 \h </w:instrText>
      </w:r>
      <w:r>
        <w:fldChar w:fldCharType="separate"/>
      </w:r>
      <w:r>
        <w:t>8</w:t>
      </w:r>
      <w:r>
        <w:fldChar w:fldCharType="end"/>
      </w:r>
      <w:r>
        <w:fldChar w:fldCharType="end"/>
      </w:r>
    </w:p>
    <w:p w14:paraId="2B846783">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"_Toc130762921" </w:instrText>
      </w:r>
      <w:r>
        <w:fldChar w:fldCharType="separate"/>
      </w:r>
      <w:r>
        <w:rPr>
          <w:rStyle w:val="26"/>
          <w:rFonts w:ascii="Times New Roman" w:hAnsi="Times New Roman" w:cs="Times New Roman"/>
        </w:rPr>
        <w:t xml:space="preserve">7.1 </w:t>
      </w:r>
      <w:r>
        <w:rPr>
          <w:rStyle w:val="26"/>
          <w:rFonts w:hint="eastAsia" w:ascii="Times New Roman" w:hAnsi="Times New Roman" w:cs="Times New Roman"/>
        </w:rPr>
        <w:t>风险指数确定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_Toc130762921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2D563E17">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"_Toc130762922" </w:instrText>
      </w:r>
      <w:r>
        <w:fldChar w:fldCharType="separate"/>
      </w:r>
      <w:r>
        <w:rPr>
          <w:rStyle w:val="26"/>
          <w:rFonts w:ascii="Times New Roman" w:hAnsi="Times New Roman" w:cs="Times New Roman"/>
        </w:rPr>
        <w:t xml:space="preserve">7.2 </w:t>
      </w:r>
      <w:r>
        <w:rPr>
          <w:rStyle w:val="26"/>
          <w:rFonts w:hint="eastAsia" w:ascii="Times New Roman" w:hAnsi="Times New Roman" w:cs="Times New Roman"/>
        </w:rPr>
        <w:t>风险等级确定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_Toc130762922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14:paraId="560DD9F5">
      <w:pPr>
        <w:pStyle w:val="16"/>
        <w:rPr>
          <w:rFonts w:eastAsiaTheme="minorEastAsia"/>
          <w:szCs w:val="22"/>
        </w:rPr>
      </w:pPr>
      <w:r>
        <w:fldChar w:fldCharType="begin"/>
      </w:r>
      <w:r>
        <w:instrText xml:space="preserve"> HYPERLINK \l "_Toc130762923" </w:instrText>
      </w:r>
      <w:r>
        <w:fldChar w:fldCharType="separate"/>
      </w:r>
      <w:r>
        <w:rPr>
          <w:rStyle w:val="26"/>
          <w:rFonts w:cs="Times New Roman"/>
        </w:rPr>
        <w:t>8 风险预警措施</w:t>
      </w:r>
      <w:r>
        <w:tab/>
      </w:r>
      <w:r>
        <w:fldChar w:fldCharType="begin"/>
      </w:r>
      <w:r>
        <w:instrText xml:space="preserve"> PAGEREF _Toc130762923 \h </w:instrText>
      </w:r>
      <w:r>
        <w:fldChar w:fldCharType="separate"/>
      </w:r>
      <w:r>
        <w:t>9</w:t>
      </w:r>
      <w:r>
        <w:fldChar w:fldCharType="end"/>
      </w:r>
      <w:r>
        <w:fldChar w:fldCharType="end"/>
      </w:r>
    </w:p>
    <w:p w14:paraId="46A09E75">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"_Toc130762924" </w:instrText>
      </w:r>
      <w:r>
        <w:fldChar w:fldCharType="separate"/>
      </w:r>
      <w:r>
        <w:rPr>
          <w:rStyle w:val="26"/>
          <w:rFonts w:ascii="Times New Roman" w:hAnsi="Times New Roman" w:cs="Times New Roman"/>
        </w:rPr>
        <w:t xml:space="preserve">8.1 </w:t>
      </w:r>
      <w:r>
        <w:rPr>
          <w:rStyle w:val="26"/>
          <w:rFonts w:hint="eastAsia" w:ascii="Times New Roman" w:hAnsi="Times New Roman" w:cs="Times New Roman"/>
        </w:rPr>
        <w:t>预警措施分类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_Toc130762924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14:paraId="6C9D04E2">
      <w:pPr>
        <w:pStyle w:val="19"/>
        <w:tabs>
          <w:tab w:val="right" w:leader="dot" w:pos="9060"/>
        </w:tabs>
        <w:rPr>
          <w:rFonts w:ascii="Times New Roman" w:hAnsi="Times New Roman" w:cs="Times New Roman" w:eastAsiaTheme="minorEastAsia"/>
          <w:szCs w:val="22"/>
        </w:rPr>
      </w:pPr>
      <w:r>
        <w:fldChar w:fldCharType="begin"/>
      </w:r>
      <w:r>
        <w:instrText xml:space="preserve"> HYPERLINK \l "_Toc130762925" </w:instrText>
      </w:r>
      <w:r>
        <w:fldChar w:fldCharType="separate"/>
      </w:r>
      <w:r>
        <w:rPr>
          <w:rStyle w:val="26"/>
          <w:rFonts w:ascii="Times New Roman" w:hAnsi="Times New Roman" w:cs="Times New Roman"/>
        </w:rPr>
        <w:t xml:space="preserve">8.2 </w:t>
      </w:r>
      <w:r>
        <w:rPr>
          <w:rStyle w:val="26"/>
          <w:rFonts w:hint="eastAsia" w:ascii="Times New Roman" w:hAnsi="Times New Roman" w:cs="Times New Roman"/>
        </w:rPr>
        <w:t>预警措施解除</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_Toc130762925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14:paraId="4D4A803A">
      <w:pPr>
        <w:pStyle w:val="16"/>
        <w:rPr>
          <w:rFonts w:eastAsiaTheme="minorEastAsia"/>
          <w:szCs w:val="22"/>
        </w:rPr>
      </w:pPr>
      <w:r>
        <w:fldChar w:fldCharType="begin"/>
      </w:r>
      <w:r>
        <w:instrText xml:space="preserve"> HYPERLINK \l "_Toc130762926" </w:instrText>
      </w:r>
      <w:r>
        <w:fldChar w:fldCharType="separate"/>
      </w:r>
      <w:r>
        <w:rPr>
          <w:rStyle w:val="26"/>
          <w:rFonts w:cs="Times New Roman"/>
        </w:rPr>
        <w:t>附 录 A （资料性附录） 安全检查法</w:t>
      </w:r>
      <w:r>
        <w:tab/>
      </w:r>
      <w:r>
        <w:fldChar w:fldCharType="begin"/>
      </w:r>
      <w:r>
        <w:instrText xml:space="preserve"> PAGEREF _Toc130762926 \h </w:instrText>
      </w:r>
      <w:r>
        <w:fldChar w:fldCharType="separate"/>
      </w:r>
      <w:r>
        <w:t>11</w:t>
      </w:r>
      <w:r>
        <w:fldChar w:fldCharType="end"/>
      </w:r>
      <w:r>
        <w:fldChar w:fldCharType="end"/>
      </w:r>
    </w:p>
    <w:p w14:paraId="07012D7C">
      <w:pPr>
        <w:pStyle w:val="16"/>
        <w:rPr>
          <w:rFonts w:eastAsiaTheme="minorEastAsia"/>
          <w:szCs w:val="22"/>
        </w:rPr>
      </w:pPr>
      <w:r>
        <w:fldChar w:fldCharType="begin"/>
      </w:r>
      <w:r>
        <w:instrText xml:space="preserve"> HYPERLINK \l "_Toc130762927" </w:instrText>
      </w:r>
      <w:r>
        <w:fldChar w:fldCharType="separate"/>
      </w:r>
      <w:r>
        <w:rPr>
          <w:rStyle w:val="26"/>
          <w:rFonts w:cs="Times New Roman"/>
        </w:rPr>
        <w:t>附 录 B （资料性附录） 预先危险性分析法</w:t>
      </w:r>
      <w:r>
        <w:tab/>
      </w:r>
      <w:r>
        <w:fldChar w:fldCharType="begin"/>
      </w:r>
      <w:r>
        <w:instrText xml:space="preserve"> PAGEREF _Toc130762927 \h </w:instrText>
      </w:r>
      <w:r>
        <w:fldChar w:fldCharType="separate"/>
      </w:r>
      <w:r>
        <w:t>12</w:t>
      </w:r>
      <w:r>
        <w:fldChar w:fldCharType="end"/>
      </w:r>
      <w:r>
        <w:fldChar w:fldCharType="end"/>
      </w:r>
    </w:p>
    <w:p w14:paraId="77B5D248">
      <w:pPr>
        <w:pStyle w:val="16"/>
        <w:rPr>
          <w:rFonts w:eastAsiaTheme="minorEastAsia"/>
          <w:szCs w:val="22"/>
        </w:rPr>
      </w:pPr>
      <w:r>
        <w:fldChar w:fldCharType="begin"/>
      </w:r>
      <w:r>
        <w:instrText xml:space="preserve"> HYPERLINK \l "_Toc130762928" </w:instrText>
      </w:r>
      <w:r>
        <w:fldChar w:fldCharType="separate"/>
      </w:r>
      <w:r>
        <w:rPr>
          <w:rStyle w:val="26"/>
          <w:rFonts w:cs="Times New Roman"/>
        </w:rPr>
        <w:t>附 录 C （资料性附录） 作业条件危险性评价法</w:t>
      </w:r>
      <w:r>
        <w:tab/>
      </w:r>
      <w:r>
        <w:fldChar w:fldCharType="begin"/>
      </w:r>
      <w:r>
        <w:instrText xml:space="preserve"> PAGEREF _Toc130762928 \h </w:instrText>
      </w:r>
      <w:r>
        <w:fldChar w:fldCharType="separate"/>
      </w:r>
      <w:r>
        <w:t>13</w:t>
      </w:r>
      <w:r>
        <w:fldChar w:fldCharType="end"/>
      </w:r>
      <w:r>
        <w:fldChar w:fldCharType="end"/>
      </w:r>
    </w:p>
    <w:p w14:paraId="53E59CBC">
      <w:pPr>
        <w:pStyle w:val="16"/>
        <w:rPr>
          <w:rFonts w:eastAsiaTheme="minorEastAsia"/>
          <w:szCs w:val="22"/>
        </w:rPr>
      </w:pPr>
      <w:r>
        <w:fldChar w:fldCharType="begin"/>
      </w:r>
      <w:r>
        <w:instrText xml:space="preserve"> HYPERLINK \l "_Toc130762929" </w:instrText>
      </w:r>
      <w:r>
        <w:fldChar w:fldCharType="separate"/>
      </w:r>
      <w:r>
        <w:rPr>
          <w:rStyle w:val="26"/>
          <w:rFonts w:cs="Times New Roman"/>
        </w:rPr>
        <w:t>附 录 D （资料性附录） 危险与可操作性分析法</w:t>
      </w:r>
      <w:r>
        <w:tab/>
      </w:r>
      <w:r>
        <w:fldChar w:fldCharType="begin"/>
      </w:r>
      <w:r>
        <w:instrText xml:space="preserve"> PAGEREF _Toc130762929 \h </w:instrText>
      </w:r>
      <w:r>
        <w:fldChar w:fldCharType="separate"/>
      </w:r>
      <w:r>
        <w:t>15</w:t>
      </w:r>
      <w:r>
        <w:fldChar w:fldCharType="end"/>
      </w:r>
      <w:r>
        <w:fldChar w:fldCharType="end"/>
      </w:r>
    </w:p>
    <w:p w14:paraId="3C34D7E6">
      <w:pPr>
        <w:pStyle w:val="16"/>
        <w:rPr>
          <w:rFonts w:eastAsiaTheme="minorEastAsia"/>
          <w:szCs w:val="22"/>
        </w:rPr>
      </w:pPr>
      <w:r>
        <w:fldChar w:fldCharType="begin"/>
      </w:r>
      <w:r>
        <w:instrText xml:space="preserve"> HYPERLINK \l "_Toc130762930" </w:instrText>
      </w:r>
      <w:r>
        <w:fldChar w:fldCharType="separate"/>
      </w:r>
      <w:r>
        <w:rPr>
          <w:rStyle w:val="26"/>
          <w:rFonts w:cs="Times New Roman"/>
        </w:rPr>
        <w:t>附 录 E （资料性附录） 失效模式与影响性分析法</w:t>
      </w:r>
      <w:r>
        <w:tab/>
      </w:r>
      <w:r>
        <w:fldChar w:fldCharType="begin"/>
      </w:r>
      <w:r>
        <w:instrText xml:space="preserve"> PAGEREF _Toc130762930 \h </w:instrText>
      </w:r>
      <w:r>
        <w:fldChar w:fldCharType="separate"/>
      </w:r>
      <w:r>
        <w:t>16</w:t>
      </w:r>
      <w:r>
        <w:fldChar w:fldCharType="end"/>
      </w:r>
      <w:r>
        <w:fldChar w:fldCharType="end"/>
      </w:r>
    </w:p>
    <w:p w14:paraId="6AD690AF">
      <w:pPr>
        <w:rPr>
          <w:rFonts w:ascii="Times New Roman" w:hAnsi="Times New Roman" w:cs="Times New Roman"/>
        </w:rPr>
      </w:pP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TOC \f \h \z \t "</w:instrText>
      </w:r>
      <w:r>
        <w:rPr>
          <w:rFonts w:hint="eastAsia" w:ascii="Times New Roman" w:hAnsi="Times New Roman" w:cs="Times New Roman"/>
        </w:rPr>
        <w:instrText xml:space="preserve">正文图题</w:instrText>
      </w:r>
      <w:r>
        <w:rPr>
          <w:rFonts w:ascii="Times New Roman" w:hAnsi="Times New Roman" w:cs="Times New Roman"/>
        </w:rPr>
        <w:instrText xml:space="preserve">,1,</w:instrText>
      </w:r>
      <w:r>
        <w:rPr>
          <w:rFonts w:hint="eastAsia" w:ascii="Times New Roman" w:hAnsi="Times New Roman" w:cs="Times New Roman"/>
        </w:rPr>
        <w:instrText xml:space="preserve">标准文件</w:instrText>
      </w:r>
      <w:r>
        <w:rPr>
          <w:rFonts w:ascii="Times New Roman" w:hAnsi="Times New Roman" w:cs="Times New Roman"/>
        </w:rPr>
        <w:instrText xml:space="preserve">_</w:instrText>
      </w:r>
      <w:r>
        <w:rPr>
          <w:rFonts w:hint="eastAsia" w:ascii="Times New Roman" w:hAnsi="Times New Roman" w:cs="Times New Roman"/>
        </w:rPr>
        <w:instrText xml:space="preserve">正文图标题</w:instrText>
      </w:r>
      <w:r>
        <w:rPr>
          <w:rFonts w:ascii="Times New Roman" w:hAnsi="Times New Roman" w:cs="Times New Roman"/>
        </w:rPr>
        <w:instrText xml:space="preserve">,1,</w:instrText>
      </w:r>
      <w:r>
        <w:rPr>
          <w:rFonts w:hint="eastAsia" w:ascii="Times New Roman" w:hAnsi="Times New Roman" w:cs="Times New Roman"/>
        </w:rPr>
        <w:instrText xml:space="preserve">正文图标题</w:instrText>
      </w:r>
      <w:r>
        <w:rPr>
          <w:rFonts w:ascii="Times New Roman" w:hAnsi="Times New Roman" w:cs="Times New Roman"/>
        </w:rPr>
        <w:instrText xml:space="preserve">,1,</w:instrText>
      </w:r>
      <w:r>
        <w:rPr>
          <w:rFonts w:hint="eastAsia" w:ascii="Times New Roman" w:hAnsi="Times New Roman" w:cs="Times New Roman"/>
        </w:rPr>
        <w:instrText xml:space="preserve">附录图标题</w:instrText>
      </w:r>
      <w:r>
        <w:rPr>
          <w:rFonts w:ascii="Times New Roman" w:hAnsi="Times New Roman" w:cs="Times New Roman"/>
        </w:rPr>
        <w:instrText xml:space="preserve">,1,</w:instrText>
      </w:r>
      <w:r>
        <w:rPr>
          <w:rFonts w:hint="eastAsia" w:ascii="Times New Roman" w:hAnsi="Times New Roman" w:cs="Times New Roman"/>
        </w:rPr>
        <w:instrText xml:space="preserve">附录图标题</w:instrText>
      </w:r>
      <w:r>
        <w:rPr>
          <w:rFonts w:ascii="Times New Roman" w:hAnsi="Times New Roman" w:cs="Times New Roman"/>
        </w:rPr>
        <w:instrText xml:space="preserve">1,1" </w:instrText>
      </w:r>
      <w:r>
        <w:rPr>
          <w:rFonts w:ascii="Times New Roman" w:hAnsi="Times New Roman" w:cs="Times New Roman"/>
        </w:rPr>
        <w:fldChar w:fldCharType="separate"/>
      </w:r>
    </w:p>
    <w:p w14:paraId="000825C9">
      <w:pPr>
        <w:pStyle w:val="16"/>
        <w:rPr>
          <w:rFonts w:eastAsiaTheme="minorEastAsia"/>
          <w:szCs w:val="22"/>
        </w:rPr>
      </w:pPr>
      <w:r>
        <w:fldChar w:fldCharType="begin"/>
      </w:r>
      <w:r>
        <w:instrText xml:space="preserve"> HYPERLINK \l "_Toc130762931" </w:instrText>
      </w:r>
      <w:r>
        <w:fldChar w:fldCharType="separate"/>
      </w:r>
      <w:r>
        <w:rPr>
          <w:rStyle w:val="26"/>
          <w:rFonts w:cs="Times New Roman"/>
        </w:rPr>
        <w:t>图1</w:t>
      </w:r>
      <w:r>
        <w:rPr>
          <w:rFonts w:eastAsiaTheme="minorEastAsia"/>
          <w:szCs w:val="22"/>
        </w:rPr>
        <w:tab/>
      </w:r>
      <w:r>
        <w:rPr>
          <w:rStyle w:val="26"/>
          <w:rFonts w:cs="Times New Roman"/>
        </w:rPr>
        <w:t>风险等级的确定规则</w:t>
      </w:r>
      <w:bookmarkStart w:id="66" w:name="_GoBack"/>
      <w:bookmarkEnd w:id="66"/>
      <w:r>
        <w:tab/>
      </w:r>
      <w:r>
        <w:fldChar w:fldCharType="begin"/>
      </w:r>
      <w:r>
        <w:instrText xml:space="preserve"> PAGEREF _Toc130762931 \h </w:instrText>
      </w:r>
      <w:r>
        <w:fldChar w:fldCharType="separate"/>
      </w:r>
      <w:r>
        <w:t>9</w:t>
      </w:r>
      <w:r>
        <w:fldChar w:fldCharType="end"/>
      </w:r>
      <w:r>
        <w:fldChar w:fldCharType="end"/>
      </w:r>
    </w:p>
    <w:p w14:paraId="3C8211D3">
      <w:pPr>
        <w:rPr>
          <w:rFonts w:ascii="Times New Roman" w:hAnsi="Times New Roman" w:eastAsia="宋体" w:cs="Times New Roman"/>
          <w:kern w:val="2"/>
          <w:sz w:val="21"/>
          <w:szCs w:val="21"/>
          <w:lang w:val="en-US" w:eastAsia="zh-CN" w:bidi="ar-SA"/>
        </w:rPr>
      </w:pP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TOC \f \h \z \t "</w:instrText>
      </w:r>
      <w:r>
        <w:rPr>
          <w:rFonts w:hint="eastAsia" w:ascii="Times New Roman" w:hAnsi="Times New Roman" w:cs="Times New Roman"/>
        </w:rPr>
        <w:instrText xml:space="preserve">正文表标题</w:instrText>
      </w:r>
      <w:r>
        <w:rPr>
          <w:rFonts w:ascii="Times New Roman" w:hAnsi="Times New Roman" w:cs="Times New Roman"/>
        </w:rPr>
        <w:instrText xml:space="preserve">,1,</w:instrText>
      </w:r>
      <w:r>
        <w:rPr>
          <w:rFonts w:hint="eastAsia" w:ascii="Times New Roman" w:hAnsi="Times New Roman" w:cs="Times New Roman"/>
        </w:rPr>
        <w:instrText xml:space="preserve">附录表标题</w:instrText>
      </w:r>
      <w:r>
        <w:rPr>
          <w:rFonts w:ascii="Times New Roman" w:hAnsi="Times New Roman" w:cs="Times New Roman"/>
        </w:rPr>
        <w:instrText xml:space="preserve">,1,</w:instrText>
      </w:r>
      <w:r>
        <w:rPr>
          <w:rFonts w:hint="eastAsia" w:ascii="Times New Roman" w:hAnsi="Times New Roman" w:cs="Times New Roman"/>
        </w:rPr>
        <w:instrText xml:space="preserve">附录表标题</w:instrText>
      </w:r>
      <w:r>
        <w:rPr>
          <w:rFonts w:ascii="Times New Roman" w:hAnsi="Times New Roman" w:cs="Times New Roman"/>
        </w:rPr>
        <w:instrText xml:space="preserve">1,1" </w:instrText>
      </w:r>
      <w:r>
        <w:rPr>
          <w:rFonts w:ascii="Times New Roman" w:hAnsi="Times New Roman" w:cs="Times New Roman"/>
        </w:rPr>
        <w:fldChar w:fldCharType="separate"/>
      </w:r>
    </w:p>
    <w:p w14:paraId="197995F1">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_Toc3919 </w:instrText>
      </w:r>
      <w:r>
        <w:rPr>
          <w:rFonts w:ascii="Times New Roman" w:hAnsi="Times New Roman" w:cs="Times New Roman"/>
        </w:rPr>
        <w:fldChar w:fldCharType="separate"/>
      </w:r>
      <w:r>
        <w:rPr>
          <w:rFonts w:hint="eastAsia" w:cs="Times New Roman"/>
        </w:rPr>
        <w:t>表1 储能电池危险辨识内容</w:t>
      </w:r>
      <w:r>
        <w:tab/>
      </w:r>
      <w:r>
        <w:fldChar w:fldCharType="begin"/>
      </w:r>
      <w:r>
        <w:instrText xml:space="preserve"> PAGEREF _Toc3919 \h </w:instrText>
      </w:r>
      <w:r>
        <w:fldChar w:fldCharType="separate"/>
      </w:r>
      <w:r>
        <w:t>3</w:t>
      </w:r>
      <w:r>
        <w:fldChar w:fldCharType="end"/>
      </w:r>
      <w:r>
        <w:rPr>
          <w:rFonts w:ascii="Times New Roman" w:hAnsi="Times New Roman" w:cs="Times New Roman"/>
        </w:rPr>
        <w:fldChar w:fldCharType="end"/>
      </w:r>
    </w:p>
    <w:p w14:paraId="5A37D1A3">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_Toc25598 </w:instrText>
      </w:r>
      <w:r>
        <w:rPr>
          <w:rFonts w:ascii="Times New Roman" w:hAnsi="Times New Roman" w:cs="Times New Roman"/>
        </w:rPr>
        <w:fldChar w:fldCharType="separate"/>
      </w:r>
      <w:r>
        <w:rPr>
          <w:rFonts w:hint="eastAsia" w:cs="Times New Roman"/>
        </w:rPr>
        <w:t>表2 电池管理系统危险辨识内容</w:t>
      </w:r>
      <w:r>
        <w:tab/>
      </w:r>
      <w:r>
        <w:fldChar w:fldCharType="begin"/>
      </w:r>
      <w:r>
        <w:instrText xml:space="preserve"> PAGEREF _Toc25598 \h </w:instrText>
      </w:r>
      <w:r>
        <w:fldChar w:fldCharType="separate"/>
      </w:r>
      <w:r>
        <w:t>4</w:t>
      </w:r>
      <w:r>
        <w:fldChar w:fldCharType="end"/>
      </w:r>
      <w:r>
        <w:rPr>
          <w:rFonts w:ascii="Times New Roman" w:hAnsi="Times New Roman" w:cs="Times New Roman"/>
        </w:rPr>
        <w:fldChar w:fldCharType="end"/>
      </w:r>
    </w:p>
    <w:p w14:paraId="4FA62FD6">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_Toc31883 </w:instrText>
      </w:r>
      <w:r>
        <w:rPr>
          <w:rFonts w:ascii="Times New Roman" w:hAnsi="Times New Roman" w:cs="Times New Roman"/>
        </w:rPr>
        <w:fldChar w:fldCharType="separate"/>
      </w:r>
      <w:r>
        <w:rPr>
          <w:rFonts w:hint="eastAsia" w:cs="Times New Roman"/>
        </w:rPr>
        <w:t>表3 储能变流器危险辨识内容</w:t>
      </w:r>
      <w:r>
        <w:tab/>
      </w:r>
      <w:r>
        <w:fldChar w:fldCharType="begin"/>
      </w:r>
      <w:r>
        <w:instrText xml:space="preserve"> PAGEREF _Toc31883 \h </w:instrText>
      </w:r>
      <w:r>
        <w:fldChar w:fldCharType="separate"/>
      </w:r>
      <w:r>
        <w:t>5</w:t>
      </w:r>
      <w:r>
        <w:fldChar w:fldCharType="end"/>
      </w:r>
      <w:r>
        <w:rPr>
          <w:rFonts w:ascii="Times New Roman" w:hAnsi="Times New Roman" w:cs="Times New Roman"/>
        </w:rPr>
        <w:fldChar w:fldCharType="end"/>
      </w:r>
    </w:p>
    <w:p w14:paraId="5BDBB61E">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_Toc23624 </w:instrText>
      </w:r>
      <w:r>
        <w:rPr>
          <w:rFonts w:ascii="Times New Roman" w:hAnsi="Times New Roman" w:cs="Times New Roman"/>
        </w:rPr>
        <w:fldChar w:fldCharType="separate"/>
      </w:r>
      <w:r>
        <w:rPr>
          <w:rFonts w:hint="eastAsia" w:cs="Times New Roman"/>
        </w:rPr>
        <w:t>表4 变压器及高低压柜危险辨识内容</w:t>
      </w:r>
      <w:r>
        <w:tab/>
      </w:r>
      <w:r>
        <w:fldChar w:fldCharType="begin"/>
      </w:r>
      <w:r>
        <w:instrText xml:space="preserve"> PAGEREF _Toc23624 \h </w:instrText>
      </w:r>
      <w:r>
        <w:fldChar w:fldCharType="separate"/>
      </w:r>
      <w:r>
        <w:t>5</w:t>
      </w:r>
      <w:r>
        <w:fldChar w:fldCharType="end"/>
      </w:r>
      <w:r>
        <w:rPr>
          <w:rFonts w:ascii="Times New Roman" w:hAnsi="Times New Roman" w:cs="Times New Roman"/>
        </w:rPr>
        <w:fldChar w:fldCharType="end"/>
      </w:r>
    </w:p>
    <w:p w14:paraId="4816FB46">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_Toc14680 </w:instrText>
      </w:r>
      <w:r>
        <w:rPr>
          <w:rFonts w:ascii="Times New Roman" w:hAnsi="Times New Roman" w:cs="Times New Roman"/>
        </w:rPr>
        <w:fldChar w:fldCharType="separate"/>
      </w:r>
      <w:r>
        <w:rPr>
          <w:rFonts w:hint="eastAsia" w:cs="Times New Roman"/>
        </w:rPr>
        <w:t>表5 储能电池工作参数及风险等级判定</w:t>
      </w:r>
      <w:r>
        <w:tab/>
      </w:r>
      <w:r>
        <w:fldChar w:fldCharType="begin"/>
      </w:r>
      <w:r>
        <w:instrText xml:space="preserve"> PAGEREF _Toc14680 \h </w:instrText>
      </w:r>
      <w:r>
        <w:fldChar w:fldCharType="separate"/>
      </w:r>
      <w:r>
        <w:t>6</w:t>
      </w:r>
      <w:r>
        <w:fldChar w:fldCharType="end"/>
      </w:r>
      <w:r>
        <w:rPr>
          <w:rFonts w:ascii="Times New Roman" w:hAnsi="Times New Roman" w:cs="Times New Roman"/>
        </w:rPr>
        <w:fldChar w:fldCharType="end"/>
      </w:r>
    </w:p>
    <w:p w14:paraId="32A99305">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_Toc1030 </w:instrText>
      </w:r>
      <w:r>
        <w:rPr>
          <w:rFonts w:ascii="Times New Roman" w:hAnsi="Times New Roman" w:cs="Times New Roman"/>
        </w:rPr>
        <w:fldChar w:fldCharType="separate"/>
      </w:r>
      <w:r>
        <w:rPr>
          <w:rFonts w:hint="eastAsia" w:cs="Times New Roman"/>
        </w:rPr>
        <w:t>表6 电池管理系统工作参数及风险等级判定</w:t>
      </w:r>
      <w:r>
        <w:tab/>
      </w:r>
      <w:r>
        <w:fldChar w:fldCharType="begin"/>
      </w:r>
      <w:r>
        <w:instrText xml:space="preserve"> PAGEREF _Toc1030 \h </w:instrText>
      </w:r>
      <w:r>
        <w:fldChar w:fldCharType="separate"/>
      </w:r>
      <w:r>
        <w:t>8</w:t>
      </w:r>
      <w:r>
        <w:fldChar w:fldCharType="end"/>
      </w:r>
      <w:r>
        <w:rPr>
          <w:rFonts w:ascii="Times New Roman" w:hAnsi="Times New Roman" w:cs="Times New Roman"/>
        </w:rPr>
        <w:fldChar w:fldCharType="end"/>
      </w:r>
    </w:p>
    <w:p w14:paraId="39FCDE8A">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_Toc14929 </w:instrText>
      </w:r>
      <w:r>
        <w:rPr>
          <w:rFonts w:ascii="Times New Roman" w:hAnsi="Times New Roman" w:cs="Times New Roman"/>
        </w:rPr>
        <w:fldChar w:fldCharType="separate"/>
      </w:r>
      <w:r>
        <w:rPr>
          <w:rFonts w:hint="eastAsia" w:cs="Times New Roman"/>
        </w:rPr>
        <w:t>表7 储能变流器工作参数及风险等级判定</w:t>
      </w:r>
      <w:r>
        <w:tab/>
      </w:r>
      <w:r>
        <w:fldChar w:fldCharType="begin"/>
      </w:r>
      <w:r>
        <w:instrText xml:space="preserve"> PAGEREF _Toc14929 \h </w:instrText>
      </w:r>
      <w:r>
        <w:fldChar w:fldCharType="separate"/>
      </w:r>
      <w:r>
        <w:t>8</w:t>
      </w:r>
      <w:r>
        <w:fldChar w:fldCharType="end"/>
      </w:r>
      <w:r>
        <w:rPr>
          <w:rFonts w:ascii="Times New Roman" w:hAnsi="Times New Roman" w:cs="Times New Roman"/>
        </w:rPr>
        <w:fldChar w:fldCharType="end"/>
      </w:r>
    </w:p>
    <w:p w14:paraId="3C3770AC">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_Toc24736 </w:instrText>
      </w:r>
      <w:r>
        <w:rPr>
          <w:rFonts w:ascii="Times New Roman" w:hAnsi="Times New Roman" w:cs="Times New Roman"/>
        </w:rPr>
        <w:fldChar w:fldCharType="separate"/>
      </w:r>
      <w:r>
        <w:rPr>
          <w:rFonts w:hint="eastAsia" w:cs="Times New Roman"/>
        </w:rPr>
        <w:t>表8 环境参数及风险等级判定</w:t>
      </w:r>
      <w:r>
        <w:tab/>
      </w:r>
      <w:r>
        <w:fldChar w:fldCharType="begin"/>
      </w:r>
      <w:r>
        <w:instrText xml:space="preserve"> PAGEREF _Toc24736 \h </w:instrText>
      </w:r>
      <w:r>
        <w:fldChar w:fldCharType="separate"/>
      </w:r>
      <w:r>
        <w:t>8</w:t>
      </w:r>
      <w:r>
        <w:fldChar w:fldCharType="end"/>
      </w:r>
      <w:r>
        <w:rPr>
          <w:rFonts w:ascii="Times New Roman" w:hAnsi="Times New Roman" w:cs="Times New Roman"/>
        </w:rPr>
        <w:fldChar w:fldCharType="end"/>
      </w:r>
    </w:p>
    <w:p w14:paraId="6C56A137">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_Toc11666 </w:instrText>
      </w:r>
      <w:r>
        <w:rPr>
          <w:rFonts w:ascii="Times New Roman" w:hAnsi="Times New Roman" w:cs="Times New Roman"/>
        </w:rPr>
        <w:fldChar w:fldCharType="separate"/>
      </w:r>
      <w:r>
        <w:rPr>
          <w:rFonts w:hint="eastAsia" w:cs="Times New Roman"/>
        </w:rPr>
        <w:t>表9 预警监控预警系统工作条件要求</w:t>
      </w:r>
      <w:r>
        <w:tab/>
      </w:r>
      <w:r>
        <w:fldChar w:fldCharType="begin"/>
      </w:r>
      <w:r>
        <w:instrText xml:space="preserve"> PAGEREF _Toc11666 \h </w:instrText>
      </w:r>
      <w:r>
        <w:fldChar w:fldCharType="separate"/>
      </w:r>
      <w:r>
        <w:t>9</w:t>
      </w:r>
      <w:r>
        <w:fldChar w:fldCharType="end"/>
      </w:r>
      <w:r>
        <w:rPr>
          <w:rFonts w:ascii="Times New Roman" w:hAnsi="Times New Roman" w:cs="Times New Roman"/>
        </w:rPr>
        <w:fldChar w:fldCharType="end"/>
      </w:r>
    </w:p>
    <w:p w14:paraId="75AE4176">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_Toc29901 </w:instrText>
      </w:r>
      <w:r>
        <w:rPr>
          <w:rFonts w:ascii="Times New Roman" w:hAnsi="Times New Roman" w:cs="Times New Roman"/>
        </w:rPr>
        <w:fldChar w:fldCharType="separate"/>
      </w:r>
      <w:r>
        <w:rPr>
          <w:rFonts w:hint="eastAsia" w:cs="Times New Roman"/>
        </w:rPr>
        <w:t>表</w:t>
      </w:r>
      <w:r>
        <w:rPr>
          <w:rFonts w:cs="Times New Roman"/>
        </w:rPr>
        <w:t xml:space="preserve">A.1 </w:t>
      </w:r>
      <w:r>
        <w:rPr>
          <w:rFonts w:hint="eastAsia" w:cs="Times New Roman"/>
        </w:rPr>
        <w:t>安全检查表示例</w:t>
      </w:r>
      <w:r>
        <w:tab/>
      </w:r>
      <w:r>
        <w:fldChar w:fldCharType="begin"/>
      </w:r>
      <w:r>
        <w:instrText xml:space="preserve"> PAGEREF _Toc29901 \h </w:instrText>
      </w:r>
      <w:r>
        <w:fldChar w:fldCharType="separate"/>
      </w:r>
      <w:r>
        <w:t>15</w:t>
      </w:r>
      <w:r>
        <w:fldChar w:fldCharType="end"/>
      </w:r>
      <w:r>
        <w:rPr>
          <w:rFonts w:ascii="Times New Roman" w:hAnsi="Times New Roman" w:cs="Times New Roman"/>
        </w:rPr>
        <w:fldChar w:fldCharType="end"/>
      </w:r>
    </w:p>
    <w:p w14:paraId="1574FA22">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_Toc3033 </w:instrText>
      </w:r>
      <w:r>
        <w:rPr>
          <w:rFonts w:ascii="Times New Roman" w:hAnsi="Times New Roman" w:cs="Times New Roman"/>
        </w:rPr>
        <w:fldChar w:fldCharType="separate"/>
      </w:r>
      <w:r>
        <w:rPr>
          <w:rFonts w:hint="eastAsia" w:cs="Times New Roman"/>
        </w:rPr>
        <w:t>表</w:t>
      </w:r>
      <w:r>
        <w:rPr>
          <w:rFonts w:cs="Times New Roman"/>
        </w:rPr>
        <w:t xml:space="preserve">B.1 </w:t>
      </w:r>
      <w:r>
        <w:rPr>
          <w:rFonts w:hint="eastAsia" w:cs="Times New Roman"/>
        </w:rPr>
        <w:t>预先危险性分析表示例</w:t>
      </w:r>
      <w:r>
        <w:tab/>
      </w:r>
      <w:r>
        <w:fldChar w:fldCharType="begin"/>
      </w:r>
      <w:r>
        <w:instrText xml:space="preserve"> PAGEREF _Toc3033 \h </w:instrText>
      </w:r>
      <w:r>
        <w:fldChar w:fldCharType="separate"/>
      </w:r>
      <w:r>
        <w:t>16</w:t>
      </w:r>
      <w:r>
        <w:fldChar w:fldCharType="end"/>
      </w:r>
      <w:r>
        <w:rPr>
          <w:rFonts w:ascii="Times New Roman" w:hAnsi="Times New Roman" w:cs="Times New Roman"/>
        </w:rPr>
        <w:fldChar w:fldCharType="end"/>
      </w:r>
    </w:p>
    <w:p w14:paraId="3311CACF">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_Toc23470 </w:instrText>
      </w:r>
      <w:r>
        <w:rPr>
          <w:rFonts w:ascii="Times New Roman" w:hAnsi="Times New Roman" w:cs="Times New Roman"/>
        </w:rPr>
        <w:fldChar w:fldCharType="separate"/>
      </w:r>
      <w:r>
        <w:rPr>
          <w:rFonts w:hint="eastAsia" w:cs="Times New Roman"/>
        </w:rPr>
        <w:t>表</w:t>
      </w:r>
      <w:r>
        <w:rPr>
          <w:rFonts w:cs="Times New Roman"/>
        </w:rPr>
        <w:t xml:space="preserve">C.1 </w:t>
      </w:r>
      <w:r>
        <w:rPr>
          <w:rFonts w:hint="eastAsia" w:cs="Times New Roman"/>
        </w:rPr>
        <w:t>事故发生可能性大小</w:t>
      </w:r>
      <w:r>
        <w:rPr>
          <w:rFonts w:cs="Times New Roman"/>
        </w:rPr>
        <w:t>L</w:t>
      </w:r>
      <w:r>
        <w:tab/>
      </w:r>
      <w:r>
        <w:fldChar w:fldCharType="begin"/>
      </w:r>
      <w:r>
        <w:instrText xml:space="preserve"> PAGEREF _Toc23470 \h </w:instrText>
      </w:r>
      <w:r>
        <w:fldChar w:fldCharType="separate"/>
      </w:r>
      <w:r>
        <w:t>17</w:t>
      </w:r>
      <w:r>
        <w:fldChar w:fldCharType="end"/>
      </w:r>
      <w:r>
        <w:rPr>
          <w:rFonts w:ascii="Times New Roman" w:hAnsi="Times New Roman" w:cs="Times New Roman"/>
        </w:rPr>
        <w:fldChar w:fldCharType="end"/>
      </w:r>
    </w:p>
    <w:p w14:paraId="566DC042">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_Toc23475 </w:instrText>
      </w:r>
      <w:r>
        <w:rPr>
          <w:rFonts w:ascii="Times New Roman" w:hAnsi="Times New Roman" w:cs="Times New Roman"/>
        </w:rPr>
        <w:fldChar w:fldCharType="separate"/>
      </w:r>
      <w:r>
        <w:rPr>
          <w:rFonts w:hint="eastAsia" w:cs="Times New Roman"/>
        </w:rPr>
        <w:t>表</w:t>
      </w:r>
      <w:r>
        <w:rPr>
          <w:rFonts w:cs="Times New Roman"/>
        </w:rPr>
        <w:t xml:space="preserve">C.2 </w:t>
      </w:r>
      <w:r>
        <w:rPr>
          <w:rFonts w:hint="eastAsia" w:cs="Times New Roman"/>
        </w:rPr>
        <w:t>暴露于危险环境频率</w:t>
      </w:r>
      <w:r>
        <w:rPr>
          <w:rFonts w:cs="Times New Roman"/>
        </w:rPr>
        <w:t>E</w:t>
      </w:r>
      <w:r>
        <w:tab/>
      </w:r>
      <w:r>
        <w:fldChar w:fldCharType="begin"/>
      </w:r>
      <w:r>
        <w:instrText xml:space="preserve"> PAGEREF _Toc23475 \h </w:instrText>
      </w:r>
      <w:r>
        <w:fldChar w:fldCharType="separate"/>
      </w:r>
      <w:r>
        <w:t>17</w:t>
      </w:r>
      <w:r>
        <w:fldChar w:fldCharType="end"/>
      </w:r>
      <w:r>
        <w:rPr>
          <w:rFonts w:ascii="Times New Roman" w:hAnsi="Times New Roman" w:cs="Times New Roman"/>
        </w:rPr>
        <w:fldChar w:fldCharType="end"/>
      </w:r>
    </w:p>
    <w:p w14:paraId="3B8AD9AE">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_Toc16836 </w:instrText>
      </w:r>
      <w:r>
        <w:rPr>
          <w:rFonts w:ascii="Times New Roman" w:hAnsi="Times New Roman" w:cs="Times New Roman"/>
        </w:rPr>
        <w:fldChar w:fldCharType="separate"/>
      </w:r>
      <w:r>
        <w:rPr>
          <w:rFonts w:hint="eastAsia" w:cs="Times New Roman"/>
        </w:rPr>
        <w:t>表</w:t>
      </w:r>
      <w:r>
        <w:rPr>
          <w:rFonts w:cs="Times New Roman"/>
        </w:rPr>
        <w:t xml:space="preserve">C.3 </w:t>
      </w:r>
      <w:r>
        <w:rPr>
          <w:rFonts w:hint="eastAsia" w:cs="Times New Roman"/>
        </w:rPr>
        <w:t>事故发生的结果</w:t>
      </w:r>
      <w:r>
        <w:rPr>
          <w:rFonts w:cs="Times New Roman"/>
        </w:rPr>
        <w:t>C</w:t>
      </w:r>
      <w:r>
        <w:tab/>
      </w:r>
      <w:r>
        <w:fldChar w:fldCharType="begin"/>
      </w:r>
      <w:r>
        <w:instrText xml:space="preserve"> PAGEREF _Toc16836 \h </w:instrText>
      </w:r>
      <w:r>
        <w:fldChar w:fldCharType="separate"/>
      </w:r>
      <w:r>
        <w:t>18</w:t>
      </w:r>
      <w:r>
        <w:fldChar w:fldCharType="end"/>
      </w:r>
      <w:r>
        <w:rPr>
          <w:rFonts w:ascii="Times New Roman" w:hAnsi="Times New Roman" w:cs="Times New Roman"/>
        </w:rPr>
        <w:fldChar w:fldCharType="end"/>
      </w:r>
    </w:p>
    <w:p w14:paraId="7D3A70A8">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_Toc32548 </w:instrText>
      </w:r>
      <w:r>
        <w:rPr>
          <w:rFonts w:ascii="Times New Roman" w:hAnsi="Times New Roman" w:cs="Times New Roman"/>
        </w:rPr>
        <w:fldChar w:fldCharType="separate"/>
      </w:r>
      <w:r>
        <w:rPr>
          <w:rFonts w:hint="eastAsia" w:cs="Times New Roman"/>
        </w:rPr>
        <w:t>表</w:t>
      </w:r>
      <w:r>
        <w:rPr>
          <w:rFonts w:cs="Times New Roman"/>
        </w:rPr>
        <w:t xml:space="preserve">C.4 </w:t>
      </w:r>
      <w:r>
        <w:rPr>
          <w:rFonts w:hint="eastAsia" w:cs="Times New Roman"/>
        </w:rPr>
        <w:t>作业危险性评价表示例</w:t>
      </w:r>
      <w:r>
        <w:tab/>
      </w:r>
      <w:r>
        <w:fldChar w:fldCharType="begin"/>
      </w:r>
      <w:r>
        <w:instrText xml:space="preserve"> PAGEREF _Toc32548 \h </w:instrText>
      </w:r>
      <w:r>
        <w:fldChar w:fldCharType="separate"/>
      </w:r>
      <w:r>
        <w:t>18</w:t>
      </w:r>
      <w:r>
        <w:fldChar w:fldCharType="end"/>
      </w:r>
      <w:r>
        <w:rPr>
          <w:rFonts w:ascii="Times New Roman" w:hAnsi="Times New Roman" w:cs="Times New Roman"/>
        </w:rPr>
        <w:fldChar w:fldCharType="end"/>
      </w:r>
    </w:p>
    <w:p w14:paraId="1CDFE433">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_Toc21121 </w:instrText>
      </w:r>
      <w:r>
        <w:rPr>
          <w:rFonts w:ascii="Times New Roman" w:hAnsi="Times New Roman" w:cs="Times New Roman"/>
        </w:rPr>
        <w:fldChar w:fldCharType="separate"/>
      </w:r>
      <w:r>
        <w:rPr>
          <w:rFonts w:hint="eastAsia" w:cs="Times New Roman"/>
        </w:rPr>
        <w:t>表</w:t>
      </w:r>
      <w:r>
        <w:rPr>
          <w:rFonts w:cs="Times New Roman"/>
        </w:rPr>
        <w:t xml:space="preserve">D.1 </w:t>
      </w:r>
      <w:r>
        <w:rPr>
          <w:rFonts w:hint="eastAsia" w:cs="Times New Roman"/>
        </w:rPr>
        <w:t>危险与可操作性分析法示例</w:t>
      </w:r>
      <w:r>
        <w:tab/>
      </w:r>
      <w:r>
        <w:fldChar w:fldCharType="begin"/>
      </w:r>
      <w:r>
        <w:instrText xml:space="preserve"> PAGEREF _Toc21121 \h </w:instrText>
      </w:r>
      <w:r>
        <w:fldChar w:fldCharType="separate"/>
      </w:r>
      <w:r>
        <w:t>19</w:t>
      </w:r>
      <w:r>
        <w:fldChar w:fldCharType="end"/>
      </w:r>
      <w:r>
        <w:rPr>
          <w:rFonts w:ascii="Times New Roman" w:hAnsi="Times New Roman" w:cs="Times New Roman"/>
        </w:rPr>
        <w:fldChar w:fldCharType="end"/>
      </w:r>
    </w:p>
    <w:p w14:paraId="3CFE0F62">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_Toc26465 </w:instrText>
      </w:r>
      <w:r>
        <w:rPr>
          <w:rFonts w:ascii="Times New Roman" w:hAnsi="Times New Roman" w:cs="Times New Roman"/>
        </w:rPr>
        <w:fldChar w:fldCharType="separate"/>
      </w:r>
      <w:r>
        <w:rPr>
          <w:rFonts w:hint="eastAsia" w:cs="Times New Roman"/>
        </w:rPr>
        <w:t>表</w:t>
      </w:r>
      <w:r>
        <w:rPr>
          <w:rFonts w:cs="Times New Roman"/>
        </w:rPr>
        <w:t>D.2 HAZOP</w:t>
      </w:r>
      <w:r>
        <w:rPr>
          <w:rFonts w:hint="eastAsia" w:cs="Times New Roman"/>
        </w:rPr>
        <w:t>分析引导词及其含义表</w:t>
      </w:r>
      <w:r>
        <w:tab/>
      </w:r>
      <w:r>
        <w:fldChar w:fldCharType="begin"/>
      </w:r>
      <w:r>
        <w:instrText xml:space="preserve"> PAGEREF _Toc26465 \h </w:instrText>
      </w:r>
      <w:r>
        <w:fldChar w:fldCharType="separate"/>
      </w:r>
      <w:r>
        <w:t>19</w:t>
      </w:r>
      <w:r>
        <w:fldChar w:fldCharType="end"/>
      </w:r>
      <w:r>
        <w:rPr>
          <w:rFonts w:ascii="Times New Roman" w:hAnsi="Times New Roman" w:cs="Times New Roman"/>
        </w:rPr>
        <w:fldChar w:fldCharType="end"/>
      </w:r>
    </w:p>
    <w:p w14:paraId="52553E4A">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_Toc10124 </w:instrText>
      </w:r>
      <w:r>
        <w:rPr>
          <w:rFonts w:ascii="Times New Roman" w:hAnsi="Times New Roman" w:cs="Times New Roman"/>
        </w:rPr>
        <w:fldChar w:fldCharType="separate"/>
      </w:r>
      <w:r>
        <w:rPr>
          <w:rFonts w:hint="eastAsia" w:cs="Times New Roman"/>
        </w:rPr>
        <w:t>表</w:t>
      </w:r>
      <w:r>
        <w:rPr>
          <w:rFonts w:cs="Times New Roman"/>
        </w:rPr>
        <w:t xml:space="preserve">E.1 </w:t>
      </w:r>
      <w:r>
        <w:rPr>
          <w:rFonts w:hint="eastAsia" w:cs="Times New Roman"/>
        </w:rPr>
        <w:t>过程失效模式和影响分析表示例</w:t>
      </w:r>
      <w:r>
        <w:tab/>
      </w:r>
      <w:r>
        <w:fldChar w:fldCharType="begin"/>
      </w:r>
      <w:r>
        <w:instrText xml:space="preserve"> PAGEREF _Toc10124 \h </w:instrText>
      </w:r>
      <w:r>
        <w:fldChar w:fldCharType="separate"/>
      </w:r>
      <w:r>
        <w:t>20</w:t>
      </w:r>
      <w:r>
        <w:fldChar w:fldCharType="end"/>
      </w:r>
      <w:r>
        <w:rPr>
          <w:rFonts w:ascii="Times New Roman" w:hAnsi="Times New Roman" w:cs="Times New Roman"/>
        </w:rPr>
        <w:fldChar w:fldCharType="end"/>
      </w:r>
    </w:p>
    <w:p w14:paraId="32A234BD">
      <w:pPr>
        <w:pStyle w:val="16"/>
        <w:tabs>
          <w:tab w:val="right" w:leader="dot" w:pos="9070"/>
          <w:tab w:val="clear" w:pos="567"/>
          <w:tab w:val="clear" w:pos="840"/>
          <w:tab w:val="clear" w:pos="9060"/>
        </w:tabs>
      </w:pPr>
      <w:r>
        <w:rPr>
          <w:rFonts w:ascii="Times New Roman" w:hAnsi="Times New Roman" w:cs="Times New Roman"/>
        </w:rPr>
        <w:fldChar w:fldCharType="begin"/>
      </w:r>
      <w:r>
        <w:rPr>
          <w:rFonts w:ascii="Times New Roman" w:hAnsi="Times New Roman" w:cs="Times New Roman"/>
        </w:rPr>
        <w:instrText xml:space="preserve"> HYPERLINK \l _Toc10139 </w:instrText>
      </w:r>
      <w:r>
        <w:rPr>
          <w:rFonts w:ascii="Times New Roman" w:hAnsi="Times New Roman" w:cs="Times New Roman"/>
        </w:rPr>
        <w:fldChar w:fldCharType="separate"/>
      </w:r>
      <w:r>
        <w:rPr>
          <w:rFonts w:hint="eastAsia" w:cs="Times New Roman"/>
        </w:rPr>
        <w:t>表</w:t>
      </w:r>
      <w:r>
        <w:rPr>
          <w:rFonts w:cs="Times New Roman"/>
        </w:rPr>
        <w:t xml:space="preserve">E.2 </w:t>
      </w:r>
      <w:r>
        <w:rPr>
          <w:rFonts w:hint="eastAsia" w:cs="Times New Roman"/>
        </w:rPr>
        <w:t>风险评分影响表</w:t>
      </w:r>
      <w:r>
        <w:tab/>
      </w:r>
      <w:r>
        <w:fldChar w:fldCharType="begin"/>
      </w:r>
      <w:r>
        <w:instrText xml:space="preserve"> PAGEREF _Toc10139 \h </w:instrText>
      </w:r>
      <w:r>
        <w:fldChar w:fldCharType="separate"/>
      </w:r>
      <w:r>
        <w:t>20</w:t>
      </w:r>
      <w:r>
        <w:fldChar w:fldCharType="end"/>
      </w:r>
      <w:r>
        <w:rPr>
          <w:rFonts w:ascii="Times New Roman" w:hAnsi="Times New Roman" w:cs="Times New Roman"/>
        </w:rPr>
        <w:fldChar w:fldCharType="end"/>
      </w:r>
    </w:p>
    <w:p w14:paraId="4BAEC6AC">
      <w:pPr>
        <w:rPr>
          <w:rFonts w:ascii="Times New Roman" w:hAnsi="Times New Roman" w:cs="Times New Roman"/>
        </w:rPr>
        <w:sectPr>
          <w:headerReference r:id="rId10" w:type="first"/>
          <w:headerReference r:id="rId9" w:type="even"/>
          <w:footerReference r:id="rId11" w:type="even"/>
          <w:pgSz w:w="11906" w:h="16838"/>
          <w:pgMar w:top="1418" w:right="1418" w:bottom="1134" w:left="1418" w:header="1417" w:footer="1134" w:gutter="0"/>
          <w:pgNumType w:fmt="upperRoman"/>
          <w:cols w:space="425" w:num="1"/>
          <w:titlePg/>
          <w:docGrid w:type="lines" w:linePitch="312" w:charSpace="0"/>
        </w:sectPr>
      </w:pPr>
      <w:r>
        <w:rPr>
          <w:rFonts w:ascii="Times New Roman" w:hAnsi="Times New Roman" w:cs="Times New Roman"/>
        </w:rPr>
        <w:fldChar w:fldCharType="end"/>
      </w:r>
    </w:p>
    <w:p w14:paraId="77F74783">
      <w:pPr>
        <w:pStyle w:val="47"/>
        <w:rPr>
          <w:rFonts w:ascii="Times New Roman" w:hAnsi="Times New Roman" w:cs="Times New Roman"/>
        </w:rPr>
      </w:pPr>
      <w:bookmarkStart w:id="4" w:name="_Toc130762909"/>
      <w:r>
        <w:rPr>
          <w:rFonts w:hint="eastAsia" w:ascii="Times New Roman" w:hAnsi="Times New Roman" w:cs="Times New Roman"/>
        </w:rPr>
        <w:t>前</w:t>
      </w:r>
      <w:r>
        <w:rPr>
          <w:rFonts w:ascii="Times New Roman" w:hAnsi="Times New Roman" w:cs="Times New Roman"/>
        </w:rPr>
        <w:t xml:space="preserve">    </w:t>
      </w:r>
      <w:r>
        <w:rPr>
          <w:rFonts w:hint="eastAsia" w:ascii="Times New Roman" w:hAnsi="Times New Roman" w:cs="Times New Roman"/>
        </w:rPr>
        <w:t>言</w:t>
      </w:r>
      <w:bookmarkEnd w:id="4"/>
    </w:p>
    <w:p w14:paraId="236385CA">
      <w:pPr>
        <w:pStyle w:val="44"/>
        <w:spacing w:before="156" w:after="156"/>
        <w:ind w:firstLine="420"/>
        <w:rPr>
          <w:rFonts w:cs="Times New Roman"/>
        </w:rPr>
      </w:pPr>
      <w:r>
        <w:rPr>
          <w:rFonts w:hint="eastAsia" w:cs="Times New Roman"/>
        </w:rPr>
        <w:t>本文件按照</w:t>
      </w:r>
      <w:r>
        <w:rPr>
          <w:rFonts w:cs="Times New Roman"/>
        </w:rPr>
        <w:t xml:space="preserve"> GB/T 1.1-2020</w:t>
      </w:r>
      <w:r>
        <w:rPr>
          <w:rFonts w:hint="eastAsia" w:cs="Times New Roman"/>
        </w:rPr>
        <w:t>《标准化工作导则</w:t>
      </w:r>
      <w:r>
        <w:rPr>
          <w:rFonts w:cs="Times New Roman"/>
        </w:rPr>
        <w:t xml:space="preserve"> </w:t>
      </w:r>
      <w:r>
        <w:rPr>
          <w:rFonts w:hint="eastAsia" w:cs="Times New Roman"/>
        </w:rPr>
        <w:t>第</w:t>
      </w:r>
      <w:r>
        <w:rPr>
          <w:rFonts w:cs="Times New Roman"/>
        </w:rPr>
        <w:t xml:space="preserve"> 1 </w:t>
      </w:r>
      <w:r>
        <w:rPr>
          <w:rFonts w:hint="eastAsia" w:cs="Times New Roman"/>
        </w:rPr>
        <w:t>部分：标准化文件的结构和起草规则》的规定起草。</w:t>
      </w:r>
    </w:p>
    <w:p w14:paraId="288F884F">
      <w:pPr>
        <w:pStyle w:val="44"/>
        <w:spacing w:before="156" w:after="156"/>
        <w:ind w:firstLine="420"/>
        <w:rPr>
          <w:rFonts w:cs="Times New Roman"/>
        </w:rPr>
      </w:pPr>
      <w:r>
        <w:rPr>
          <w:rFonts w:hint="eastAsia" w:cs="Times New Roman"/>
        </w:rPr>
        <w:t>本文件的某些内容可能涉及专利。本文件的发布机构不承担识别专利的责任。</w:t>
      </w:r>
    </w:p>
    <w:p w14:paraId="02E733D3">
      <w:pPr>
        <w:pStyle w:val="44"/>
        <w:spacing w:before="156" w:after="156"/>
        <w:ind w:firstLine="420"/>
        <w:rPr>
          <w:rFonts w:cs="Times New Roman"/>
        </w:rPr>
      </w:pPr>
      <w:r>
        <w:rPr>
          <w:rFonts w:hint="eastAsia" w:cs="Times New Roman"/>
        </w:rPr>
        <w:t>本文件由中国电子商会提出。</w:t>
      </w:r>
    </w:p>
    <w:p w14:paraId="1E70343C">
      <w:pPr>
        <w:pStyle w:val="44"/>
        <w:spacing w:before="156" w:after="156"/>
        <w:ind w:firstLine="420"/>
        <w:rPr>
          <w:rFonts w:cs="Times New Roman"/>
        </w:rPr>
      </w:pPr>
      <w:r>
        <w:rPr>
          <w:rFonts w:hint="eastAsia" w:cs="Times New Roman"/>
        </w:rPr>
        <w:t>本文件由</w:t>
      </w:r>
      <w:r>
        <w:rPr>
          <w:rFonts w:hint="eastAsia"/>
          <w:lang w:val="en-US" w:eastAsia="zh-CN"/>
        </w:rPr>
        <w:t>中国电子商会</w:t>
      </w:r>
      <w:r>
        <w:rPr>
          <w:rFonts w:hint="eastAsia" w:cs="Times New Roman"/>
          <w:color w:val="FF0000"/>
          <w:highlight w:val="yellow"/>
        </w:rPr>
        <w:t>归口</w:t>
      </w:r>
      <w:r>
        <w:rPr>
          <w:rFonts w:hint="eastAsia" w:cs="Times New Roman"/>
        </w:rPr>
        <w:t>。</w:t>
      </w:r>
    </w:p>
    <w:p w14:paraId="71F8EAF0">
      <w:pPr>
        <w:pStyle w:val="44"/>
        <w:spacing w:before="156" w:after="156"/>
        <w:ind w:firstLine="420"/>
        <w:rPr>
          <w:rFonts w:cs="Times New Roman"/>
        </w:rPr>
      </w:pPr>
      <w:r>
        <w:rPr>
          <w:rFonts w:hint="eastAsia" w:cs="Times New Roman"/>
        </w:rPr>
        <w:t>本文件起草单位：</w:t>
      </w:r>
    </w:p>
    <w:p w14:paraId="136EF679">
      <w:pPr>
        <w:pStyle w:val="44"/>
        <w:spacing w:before="156" w:after="156"/>
        <w:ind w:firstLine="420"/>
        <w:rPr>
          <w:rFonts w:cs="Times New Roman"/>
        </w:rPr>
      </w:pPr>
      <w:r>
        <w:rPr>
          <w:rFonts w:hint="eastAsia" w:cs="Times New Roman"/>
        </w:rPr>
        <w:t>本文件起草人：</w:t>
      </w:r>
    </w:p>
    <w:p w14:paraId="32E30BC5">
      <w:pPr>
        <w:pStyle w:val="44"/>
        <w:spacing w:before="156" w:after="156"/>
        <w:ind w:firstLine="420"/>
        <w:rPr>
          <w:rFonts w:cs="Times New Roman"/>
        </w:rPr>
        <w:sectPr>
          <w:pgSz w:w="11906" w:h="16838"/>
          <w:pgMar w:top="1418" w:right="1418" w:bottom="1134" w:left="1418" w:header="1417" w:footer="1134" w:gutter="0"/>
          <w:pgNumType w:fmt="upperRoman"/>
          <w:cols w:space="425" w:num="1"/>
          <w:titlePg/>
          <w:docGrid w:type="lines" w:linePitch="312" w:charSpace="0"/>
        </w:sectPr>
      </w:pPr>
    </w:p>
    <w:p w14:paraId="3A9F86EF">
      <w:pPr>
        <w:pStyle w:val="17"/>
        <w:rPr>
          <w:rFonts w:ascii="Times New Roman" w:hAnsi="Times New Roman" w:cs="Times New Roman"/>
          <w:b w:val="0"/>
          <w:bCs w:val="0"/>
        </w:rPr>
      </w:pPr>
      <w:r>
        <w:rPr>
          <w:rFonts w:hint="eastAsia" w:ascii="Times New Roman" w:hAnsi="Times New Roman" w:cs="Times New Roman"/>
          <w:b w:val="0"/>
          <w:bCs w:val="0"/>
        </w:rPr>
        <w:t>电化学储能电站安全风险预警技术规范</w:t>
      </w:r>
    </w:p>
    <w:p w14:paraId="1829DB1D">
      <w:pPr>
        <w:pStyle w:val="41"/>
        <w:numPr>
          <w:ilvl w:val="0"/>
          <w:numId w:val="0"/>
        </w:numPr>
        <w:rPr>
          <w:rFonts w:cs="Times New Roman"/>
          <w:b/>
          <w:bCs/>
        </w:rPr>
      </w:pPr>
      <w:bookmarkStart w:id="5" w:name="_Toc130762910"/>
      <w:r>
        <w:rPr>
          <w:rFonts w:cs="Times New Roman"/>
          <w:b w:val="0"/>
          <w:bCs w:val="0"/>
        </w:rPr>
        <w:t xml:space="preserve">1 </w:t>
      </w:r>
      <w:r>
        <w:rPr>
          <w:rFonts w:hint="eastAsia" w:cs="Times New Roman"/>
          <w:b w:val="0"/>
          <w:bCs w:val="0"/>
        </w:rPr>
        <w:t>范围</w:t>
      </w:r>
      <w:bookmarkEnd w:id="5"/>
    </w:p>
    <w:p w14:paraId="4CF5930B">
      <w:pPr>
        <w:pStyle w:val="44"/>
        <w:spacing w:before="156" w:after="156"/>
        <w:ind w:firstLine="420"/>
        <w:rPr>
          <w:rFonts w:cs="Times New Roman"/>
        </w:rPr>
      </w:pPr>
      <w:r>
        <w:rPr>
          <w:rFonts w:hint="eastAsia" w:cs="Times New Roman"/>
        </w:rPr>
        <w:t>本文件提供了电化学储能电站风险预警过程的总体逻辑过程，给出了安全风险辨识、安全风险监测、风险预警流程、预警技术、预警评估等方面的要求。</w:t>
      </w:r>
    </w:p>
    <w:p w14:paraId="20CBEA9E">
      <w:pPr>
        <w:pStyle w:val="44"/>
        <w:spacing w:before="156" w:after="156"/>
        <w:ind w:firstLine="420"/>
        <w:rPr>
          <w:rFonts w:cs="Times New Roman"/>
        </w:rPr>
      </w:pPr>
      <w:r>
        <w:rPr>
          <w:rFonts w:hint="eastAsia" w:cs="Times New Roman"/>
        </w:rPr>
        <w:t>本文件适用于以锂离子电池、钠离子电池、铅炭</w:t>
      </w:r>
      <w:r>
        <w:rPr>
          <w:rFonts w:cs="Times New Roman"/>
        </w:rPr>
        <w:t>/</w:t>
      </w:r>
      <w:r>
        <w:rPr>
          <w:rFonts w:hint="eastAsia" w:cs="Times New Roman"/>
        </w:rPr>
        <w:t>铅酸电池、液流电池、燃料电池为储能载体的电化学储能电站。</w:t>
      </w:r>
    </w:p>
    <w:p w14:paraId="6C4BB9A9">
      <w:pPr>
        <w:pStyle w:val="44"/>
        <w:spacing w:before="156" w:after="156"/>
        <w:ind w:firstLine="420"/>
        <w:rPr>
          <w:rFonts w:cs="Times New Roman"/>
        </w:rPr>
      </w:pPr>
      <w:r>
        <w:rPr>
          <w:rFonts w:hint="eastAsia" w:cs="Times New Roman"/>
        </w:rPr>
        <w:t>本文件适用于功率不小于5</w:t>
      </w:r>
      <w:r>
        <w:rPr>
          <w:rFonts w:cs="Times New Roman"/>
        </w:rPr>
        <w:t>00</w:t>
      </w:r>
      <w:r>
        <w:rPr>
          <w:rFonts w:hint="eastAsia" w:cs="Times New Roman"/>
        </w:rPr>
        <w:t>k</w:t>
      </w:r>
      <w:r>
        <w:rPr>
          <w:rFonts w:cs="Times New Roman"/>
        </w:rPr>
        <w:t>W</w:t>
      </w:r>
      <w:r>
        <w:rPr>
          <w:rFonts w:hint="eastAsia" w:cs="Times New Roman"/>
        </w:rPr>
        <w:t>且容量不小于</w:t>
      </w:r>
      <w:r>
        <w:rPr>
          <w:rFonts w:cs="Times New Roman"/>
        </w:rPr>
        <w:t>500kWh</w:t>
      </w:r>
      <w:r>
        <w:rPr>
          <w:rFonts w:hint="eastAsia" w:cs="Times New Roman"/>
        </w:rPr>
        <w:t>的新建、扩建或改建工程电化学储能电站。以燃料电池为储能载体时，其发电量应不小于500 kWh。</w:t>
      </w:r>
    </w:p>
    <w:p w14:paraId="118AE2CD">
      <w:pPr>
        <w:pStyle w:val="41"/>
        <w:numPr>
          <w:ilvl w:val="0"/>
          <w:numId w:val="0"/>
        </w:numPr>
        <w:rPr>
          <w:rFonts w:cs="Times New Roman"/>
          <w:b w:val="0"/>
          <w:bCs w:val="0"/>
        </w:rPr>
      </w:pPr>
      <w:bookmarkStart w:id="6" w:name="_Toc130762911"/>
      <w:r>
        <w:rPr>
          <w:rFonts w:cs="Times New Roman"/>
          <w:b w:val="0"/>
          <w:bCs w:val="0"/>
        </w:rPr>
        <w:t xml:space="preserve">2 </w:t>
      </w:r>
      <w:r>
        <w:rPr>
          <w:rFonts w:hint="eastAsia" w:cs="Times New Roman"/>
          <w:b w:val="0"/>
          <w:bCs w:val="0"/>
        </w:rPr>
        <w:t>规范性引用文件</w:t>
      </w:r>
      <w:bookmarkEnd w:id="6"/>
    </w:p>
    <w:p w14:paraId="7D286F0F">
      <w:pPr>
        <w:pStyle w:val="44"/>
        <w:spacing w:before="156" w:after="156"/>
        <w:ind w:firstLine="420"/>
        <w:rPr>
          <w:rFonts w:cs="Times New Roman"/>
        </w:rPr>
      </w:pPr>
      <w:r>
        <w:rPr>
          <w:rFonts w:hint="eastAsia" w:cs="Times New Roman"/>
        </w:rPr>
        <w:t>下列文件中的内容通过文中的规范性引用而构成本文件必不可少的条款。其中，注日期的引用文件，仅该日期对应的版本适用于本文件；不注日期的引用文件，其最新版本</w:t>
      </w:r>
      <w:r>
        <w:rPr>
          <w:rFonts w:cs="Times New Roman"/>
        </w:rPr>
        <w:t>（</w:t>
      </w:r>
      <w:r>
        <w:rPr>
          <w:rFonts w:hint="eastAsia" w:cs="Times New Roman"/>
        </w:rPr>
        <w:t>包括所有的修改单</w:t>
      </w:r>
      <w:r>
        <w:rPr>
          <w:rFonts w:cs="Times New Roman"/>
        </w:rPr>
        <w:t>）</w:t>
      </w:r>
      <w:r>
        <w:rPr>
          <w:rFonts w:hint="eastAsia" w:cs="Times New Roman"/>
        </w:rPr>
        <w:t>适用于本文件。</w:t>
      </w:r>
    </w:p>
    <w:p w14:paraId="2CB0B915">
      <w:pPr>
        <w:pStyle w:val="44"/>
        <w:spacing w:before="156" w:after="156"/>
        <w:ind w:firstLine="420"/>
        <w:rPr>
          <w:rFonts w:cs="Times New Roman"/>
        </w:rPr>
      </w:pPr>
      <w:r>
        <w:rPr>
          <w:rFonts w:cs="Times New Roman"/>
        </w:rPr>
        <w:t xml:space="preserve">GB/T 4776 </w:t>
      </w:r>
      <w:r>
        <w:rPr>
          <w:rFonts w:hint="eastAsia" w:cs="Times New Roman"/>
        </w:rPr>
        <w:t>电气安全术语</w:t>
      </w:r>
    </w:p>
    <w:p w14:paraId="2CFF5308">
      <w:pPr>
        <w:pStyle w:val="44"/>
        <w:spacing w:before="156" w:after="156"/>
        <w:ind w:firstLine="420"/>
        <w:rPr>
          <w:rFonts w:cs="Times New Roman"/>
        </w:rPr>
      </w:pPr>
      <w:r>
        <w:rPr>
          <w:rStyle w:val="115"/>
          <w:rFonts w:cs="Times New Roman"/>
        </w:rPr>
        <w:t>GB 4962 氢气使用安全技术规程</w:t>
      </w:r>
    </w:p>
    <w:p w14:paraId="16D843CF">
      <w:pPr>
        <w:pStyle w:val="44"/>
        <w:spacing w:before="156" w:after="156"/>
        <w:ind w:firstLine="420"/>
        <w:rPr>
          <w:rFonts w:cs="Times New Roman"/>
        </w:rPr>
      </w:pPr>
      <w:r>
        <w:rPr>
          <w:rFonts w:cs="Times New Roman"/>
        </w:rPr>
        <w:t xml:space="preserve">GB/T 19774 </w:t>
      </w:r>
      <w:r>
        <w:rPr>
          <w:rFonts w:hint="eastAsia" w:cs="Times New Roman"/>
        </w:rPr>
        <w:t>水电解制氢设备技术要求</w:t>
      </w:r>
    </w:p>
    <w:p w14:paraId="3AAA416E">
      <w:pPr>
        <w:pStyle w:val="44"/>
        <w:spacing w:before="156" w:after="156"/>
        <w:ind w:firstLine="420"/>
        <w:rPr>
          <w:rFonts w:cs="Times New Roman"/>
        </w:rPr>
      </w:pPr>
      <w:r>
        <w:rPr>
          <w:rFonts w:cs="Times New Roman"/>
        </w:rPr>
        <w:t xml:space="preserve">GB/T 22696 </w:t>
      </w:r>
      <w:r>
        <w:rPr>
          <w:rFonts w:hint="eastAsia" w:cs="Times New Roman"/>
        </w:rPr>
        <w:t>电气设备的安全</w:t>
      </w:r>
      <w:r>
        <w:rPr>
          <w:rFonts w:cs="Times New Roman"/>
        </w:rPr>
        <w:t xml:space="preserve"> </w:t>
      </w:r>
      <w:r>
        <w:rPr>
          <w:rFonts w:hint="eastAsia" w:cs="Times New Roman"/>
        </w:rPr>
        <w:t>风险评估和风险降低</w:t>
      </w:r>
    </w:p>
    <w:p w14:paraId="177394D6">
      <w:pPr>
        <w:pStyle w:val="44"/>
        <w:spacing w:before="156" w:after="156"/>
        <w:ind w:firstLine="420"/>
        <w:rPr>
          <w:rStyle w:val="115"/>
          <w:rFonts w:cs="Times New Roman"/>
        </w:rPr>
      </w:pPr>
      <w:r>
        <w:rPr>
          <w:rStyle w:val="115"/>
          <w:rFonts w:cs="Times New Roman"/>
        </w:rPr>
        <w:t>GB/T 27748.1 固定式燃料电池发电系统：安全</w:t>
      </w:r>
    </w:p>
    <w:p w14:paraId="5B87BF86">
      <w:pPr>
        <w:pStyle w:val="44"/>
        <w:spacing w:before="156" w:after="156"/>
        <w:ind w:firstLine="420"/>
        <w:rPr>
          <w:rFonts w:cs="Times New Roman"/>
        </w:rPr>
      </w:pPr>
      <w:r>
        <w:rPr>
          <w:rStyle w:val="116"/>
          <w:rFonts w:cs="Times New Roman"/>
        </w:rPr>
        <w:t>GB/T 28816</w:t>
      </w:r>
      <w:r>
        <w:t xml:space="preserve"> </w:t>
      </w:r>
      <w:r>
        <w:rPr>
          <w:rFonts w:hint="eastAsia"/>
        </w:rPr>
        <w:t>燃料电池</w:t>
      </w:r>
      <w:r>
        <w:t xml:space="preserve"> </w:t>
      </w:r>
      <w:r>
        <w:rPr>
          <w:rFonts w:hint="eastAsia"/>
        </w:rPr>
        <w:t>术语</w:t>
      </w:r>
    </w:p>
    <w:p w14:paraId="7BD90599">
      <w:pPr>
        <w:pStyle w:val="44"/>
        <w:spacing w:before="156" w:after="156"/>
        <w:ind w:firstLine="420"/>
        <w:rPr>
          <w:rStyle w:val="115"/>
          <w:rFonts w:cs="Times New Roman"/>
        </w:rPr>
      </w:pPr>
      <w:r>
        <w:rPr>
          <w:rStyle w:val="115"/>
          <w:rFonts w:cs="Times New Roman"/>
        </w:rPr>
        <w:t>GB/T 29729 氢系统安全的基本要求</w:t>
      </w:r>
    </w:p>
    <w:p w14:paraId="56C67265">
      <w:pPr>
        <w:pStyle w:val="44"/>
        <w:spacing w:before="156" w:after="156"/>
        <w:ind w:firstLine="420"/>
        <w:rPr>
          <w:rStyle w:val="115"/>
          <w:rFonts w:cs="Times New Roman"/>
        </w:rPr>
      </w:pPr>
      <w:r>
        <w:rPr>
          <w:rFonts w:cs="Times New Roman"/>
        </w:rPr>
        <w:t>GB/T 31484</w:t>
      </w:r>
      <w:r>
        <w:rPr>
          <w:rFonts w:hint="eastAsia" w:cs="Times New Roman"/>
        </w:rPr>
        <w:t xml:space="preserve"> 电动汽车用动力蓄电池循环寿命要求及试验方法</w:t>
      </w:r>
    </w:p>
    <w:p w14:paraId="7AB694A0">
      <w:pPr>
        <w:pStyle w:val="44"/>
        <w:spacing w:before="156" w:after="156"/>
        <w:ind w:firstLine="420"/>
        <w:rPr>
          <w:rStyle w:val="115"/>
          <w:rFonts w:cs="Times New Roman"/>
        </w:rPr>
      </w:pPr>
      <w:r>
        <w:rPr>
          <w:rStyle w:val="115"/>
          <w:rFonts w:cs="Times New Roman"/>
        </w:rPr>
        <w:t>GB/T 34120 电化学储能系统储能变流器技术规范</w:t>
      </w:r>
    </w:p>
    <w:p w14:paraId="5252EF06">
      <w:pPr>
        <w:pStyle w:val="44"/>
        <w:spacing w:before="156" w:after="156"/>
        <w:ind w:firstLine="420"/>
        <w:rPr>
          <w:rStyle w:val="115"/>
          <w:rFonts w:cs="Times New Roman"/>
        </w:rPr>
      </w:pPr>
      <w:r>
        <w:t>GB/T 34131 电力储能用电池管理系统</w:t>
      </w:r>
    </w:p>
    <w:p w14:paraId="58B7DC70">
      <w:pPr>
        <w:pStyle w:val="44"/>
        <w:spacing w:before="156" w:after="156"/>
        <w:ind w:firstLine="420"/>
        <w:rPr>
          <w:rFonts w:cs="Times New Roman"/>
        </w:rPr>
      </w:pPr>
      <w:r>
        <w:rPr>
          <w:rStyle w:val="116"/>
          <w:rFonts w:cs="Times New Roman"/>
        </w:rPr>
        <w:t xml:space="preserve">GB/T 34133 </w:t>
      </w:r>
      <w:r>
        <w:rPr>
          <w:rFonts w:hint="eastAsia"/>
        </w:rPr>
        <w:t>储能变流器检测技术规程</w:t>
      </w:r>
    </w:p>
    <w:p w14:paraId="394B22C6">
      <w:pPr>
        <w:pStyle w:val="44"/>
        <w:spacing w:before="156" w:after="156"/>
        <w:ind w:firstLine="420"/>
        <w:rPr>
          <w:rStyle w:val="115"/>
          <w:rFonts w:cs="Times New Roman"/>
        </w:rPr>
      </w:pPr>
      <w:r>
        <w:rPr>
          <w:rStyle w:val="115"/>
          <w:rFonts w:cs="Times New Roman"/>
        </w:rPr>
        <w:t>GB/T 34866 全钒液流电池 安全要求</w:t>
      </w:r>
    </w:p>
    <w:p w14:paraId="2DFEAFAB">
      <w:pPr>
        <w:pStyle w:val="44"/>
        <w:spacing w:before="156" w:after="156"/>
        <w:ind w:firstLine="420"/>
        <w:rPr>
          <w:rFonts w:cs="Times New Roman"/>
        </w:rPr>
      </w:pPr>
      <w:r>
        <w:rPr>
          <w:rFonts w:cs="Times New Roman"/>
        </w:rPr>
        <w:t xml:space="preserve">GB/T 34924 </w:t>
      </w:r>
      <w:r>
        <w:rPr>
          <w:rFonts w:hint="eastAsia" w:cs="Times New Roman"/>
        </w:rPr>
        <w:t>低压电气设备安全风险评估和风险降低指南</w:t>
      </w:r>
    </w:p>
    <w:p w14:paraId="2F228BD9">
      <w:pPr>
        <w:pStyle w:val="44"/>
        <w:spacing w:before="156" w:after="156"/>
        <w:ind w:firstLine="420"/>
        <w:rPr>
          <w:rFonts w:cs="Times New Roman"/>
        </w:rPr>
      </w:pPr>
      <w:r>
        <w:rPr>
          <w:rFonts w:cs="Times New Roman"/>
        </w:rPr>
        <w:t xml:space="preserve">GB/T 36280 </w:t>
      </w:r>
      <w:r>
        <w:rPr>
          <w:rFonts w:hint="eastAsia" w:cs="Times New Roman"/>
        </w:rPr>
        <w:t>电力储能用铅炭电池</w:t>
      </w:r>
    </w:p>
    <w:p w14:paraId="17919ECD">
      <w:pPr>
        <w:pStyle w:val="44"/>
        <w:spacing w:before="156" w:after="156"/>
        <w:ind w:firstLine="420"/>
        <w:rPr>
          <w:rFonts w:cs="Times New Roman"/>
        </w:rPr>
      </w:pPr>
      <w:r>
        <w:rPr>
          <w:rFonts w:hint="eastAsia" w:cs="Times New Roman"/>
        </w:rPr>
        <w:t>GB/T 37562 压力型水电解制氢系统技术条件</w:t>
      </w:r>
    </w:p>
    <w:p w14:paraId="4946AB1F">
      <w:pPr>
        <w:pStyle w:val="44"/>
        <w:spacing w:before="156" w:after="156"/>
        <w:ind w:firstLine="420"/>
        <w:rPr>
          <w:rFonts w:cs="Times New Roman"/>
        </w:rPr>
      </w:pPr>
      <w:r>
        <w:rPr>
          <w:rFonts w:hint="eastAsia" w:cs="Times New Roman"/>
        </w:rPr>
        <w:t>GB/T 37563 压力型水电解制氢系统安全要求</w:t>
      </w:r>
    </w:p>
    <w:p w14:paraId="15CD9067">
      <w:pPr>
        <w:pStyle w:val="44"/>
        <w:spacing w:before="156" w:after="156"/>
        <w:ind w:firstLine="420"/>
        <w:rPr>
          <w:rFonts w:cs="Times New Roman"/>
        </w:rPr>
      </w:pPr>
      <w:r>
        <w:rPr>
          <w:rFonts w:hint="eastAsia" w:cs="Times New Roman"/>
        </w:rPr>
        <w:t>G</w:t>
      </w:r>
      <w:r>
        <w:rPr>
          <w:rFonts w:cs="Times New Roman"/>
        </w:rPr>
        <w:t xml:space="preserve">B 40165 </w:t>
      </w:r>
      <w:r>
        <w:rPr>
          <w:rFonts w:hint="eastAsia" w:cs="Times New Roman"/>
        </w:rPr>
        <w:t>固定式电子设备用锂离子电池和电池组 安全技术规范</w:t>
      </w:r>
    </w:p>
    <w:p w14:paraId="3C405DAF">
      <w:pPr>
        <w:pStyle w:val="44"/>
        <w:spacing w:before="156" w:after="156"/>
        <w:ind w:firstLine="420"/>
        <w:rPr>
          <w:rFonts w:cs="Times New Roman"/>
        </w:rPr>
      </w:pPr>
      <w:r>
        <w:rPr>
          <w:rFonts w:cs="Times New Roman"/>
        </w:rPr>
        <w:t xml:space="preserve">GB/T 40437 </w:t>
      </w:r>
      <w:r>
        <w:rPr>
          <w:rFonts w:hint="eastAsia" w:cs="Times New Roman"/>
        </w:rPr>
        <w:t>电气安全</w:t>
      </w:r>
      <w:r>
        <w:rPr>
          <w:rFonts w:cs="Times New Roman"/>
        </w:rPr>
        <w:t xml:space="preserve"> </w:t>
      </w:r>
      <w:r>
        <w:rPr>
          <w:rFonts w:hint="eastAsia" w:cs="Times New Roman"/>
        </w:rPr>
        <w:t>风险预警指南</w:t>
      </w:r>
    </w:p>
    <w:p w14:paraId="7450DB2A">
      <w:pPr>
        <w:pStyle w:val="44"/>
        <w:spacing w:before="156" w:after="156"/>
        <w:ind w:firstLine="420"/>
        <w:rPr>
          <w:rFonts w:cs="Times New Roman"/>
        </w:rPr>
      </w:pPr>
      <w:r>
        <w:rPr>
          <w:rFonts w:cs="Times New Roman"/>
        </w:rPr>
        <w:t xml:space="preserve">GB/T 42288 </w:t>
      </w:r>
      <w:r>
        <w:rPr>
          <w:rFonts w:hint="eastAsia" w:cs="Times New Roman"/>
        </w:rPr>
        <w:t>电化学储能电站安全规程</w:t>
      </w:r>
    </w:p>
    <w:p w14:paraId="643C213B">
      <w:pPr>
        <w:pStyle w:val="44"/>
        <w:spacing w:before="156" w:after="156"/>
        <w:ind w:firstLine="420"/>
        <w:rPr>
          <w:rFonts w:cs="Times New Roman"/>
        </w:rPr>
      </w:pPr>
      <w:r>
        <w:rPr>
          <w:rFonts w:cs="Times New Roman"/>
        </w:rPr>
        <w:t xml:space="preserve">GB/T 42314 </w:t>
      </w:r>
      <w:r>
        <w:rPr>
          <w:rFonts w:hint="eastAsia" w:cs="Times New Roman"/>
        </w:rPr>
        <w:t>电化学储能电站危险源辨识技术导则</w:t>
      </w:r>
    </w:p>
    <w:p w14:paraId="4F829C53">
      <w:pPr>
        <w:pStyle w:val="44"/>
        <w:spacing w:before="156" w:after="156"/>
        <w:ind w:firstLine="420"/>
        <w:rPr>
          <w:rFonts w:cs="Times New Roman"/>
        </w:rPr>
      </w:pPr>
      <w:r>
        <w:rPr>
          <w:rFonts w:cs="Times New Roman"/>
        </w:rPr>
        <w:t xml:space="preserve">GB/T 42726 </w:t>
      </w:r>
      <w:r>
        <w:rPr>
          <w:rFonts w:hint="eastAsia" w:cs="Times New Roman"/>
        </w:rPr>
        <w:t>电化学储能电站监控预警系统技术规范</w:t>
      </w:r>
    </w:p>
    <w:p w14:paraId="0885E589">
      <w:pPr>
        <w:pStyle w:val="44"/>
        <w:spacing w:before="156" w:after="156"/>
        <w:ind w:firstLine="420"/>
        <w:rPr>
          <w:rFonts w:cs="Times New Roman"/>
        </w:rPr>
      </w:pPr>
      <w:r>
        <w:rPr>
          <w:rFonts w:hint="eastAsia" w:cs="Times New Roman"/>
        </w:rPr>
        <w:t>G</w:t>
      </w:r>
      <w:r>
        <w:rPr>
          <w:rFonts w:cs="Times New Roman"/>
        </w:rPr>
        <w:t xml:space="preserve">B 51048 </w:t>
      </w:r>
      <w:r>
        <w:rPr>
          <w:rFonts w:hint="eastAsia" w:cs="Times New Roman"/>
        </w:rPr>
        <w:t>电化学储能电站设计规范</w:t>
      </w:r>
    </w:p>
    <w:p w14:paraId="57C0CA18">
      <w:pPr>
        <w:pStyle w:val="44"/>
        <w:spacing w:before="156" w:after="156"/>
        <w:ind w:firstLine="420"/>
        <w:rPr>
          <w:rFonts w:cs="Times New Roman"/>
        </w:rPr>
      </w:pPr>
      <w:r>
        <w:rPr>
          <w:rFonts w:cs="Times New Roman"/>
        </w:rPr>
        <w:t xml:space="preserve">DL/T 2247.5 </w:t>
      </w:r>
      <w:r>
        <w:rPr>
          <w:rFonts w:hint="eastAsia" w:cs="Times New Roman"/>
        </w:rPr>
        <w:t>电化学储能电站调度运行管理规程第</w:t>
      </w:r>
      <w:r>
        <w:rPr>
          <w:rFonts w:cs="Times New Roman"/>
        </w:rPr>
        <w:t>5</w:t>
      </w:r>
      <w:r>
        <w:rPr>
          <w:rFonts w:hint="eastAsia" w:cs="Times New Roman"/>
        </w:rPr>
        <w:t>部分</w:t>
      </w:r>
      <w:r>
        <w:rPr>
          <w:rFonts w:cs="Times New Roman"/>
        </w:rPr>
        <w:t>：</w:t>
      </w:r>
      <w:r>
        <w:rPr>
          <w:rFonts w:hint="eastAsia" w:cs="Times New Roman"/>
        </w:rPr>
        <w:t>应急处置</w:t>
      </w:r>
    </w:p>
    <w:p w14:paraId="0803566E">
      <w:pPr>
        <w:pStyle w:val="44"/>
        <w:spacing w:before="156" w:after="156"/>
        <w:ind w:firstLine="420"/>
        <w:rPr>
          <w:rFonts w:cs="Times New Roman"/>
        </w:rPr>
      </w:pPr>
      <w:r>
        <w:rPr>
          <w:rFonts w:cs="Times New Roman"/>
        </w:rPr>
        <w:t xml:space="preserve">DL/T 2528 </w:t>
      </w:r>
      <w:r>
        <w:rPr>
          <w:rFonts w:hint="eastAsia" w:cs="Times New Roman"/>
        </w:rPr>
        <w:t>电力储能基本术语</w:t>
      </w:r>
    </w:p>
    <w:p w14:paraId="7AA6EC36">
      <w:pPr>
        <w:pStyle w:val="44"/>
        <w:spacing w:before="156" w:after="156"/>
        <w:ind w:firstLine="420"/>
        <w:rPr>
          <w:rFonts w:cs="Times New Roman"/>
        </w:rPr>
      </w:pPr>
      <w:r>
        <w:rPr>
          <w:rFonts w:cs="Times New Roman"/>
        </w:rPr>
        <w:t>JB/T5903-96</w:t>
      </w:r>
      <w:r>
        <w:rPr>
          <w:rFonts w:hint="eastAsia" w:cs="Times New Roman"/>
        </w:rPr>
        <w:t xml:space="preserve"> </w:t>
      </w:r>
      <w:r>
        <w:rPr>
          <w:rFonts w:cs="Times New Roman"/>
        </w:rPr>
        <w:t>水电解制氢设备</w:t>
      </w:r>
    </w:p>
    <w:p w14:paraId="3A1FE87B">
      <w:pPr>
        <w:pStyle w:val="44"/>
        <w:spacing w:before="156" w:after="156"/>
        <w:ind w:firstLine="420"/>
        <w:rPr>
          <w:rFonts w:cs="Times New Roman"/>
        </w:rPr>
      </w:pPr>
      <w:r>
        <w:rPr>
          <w:rFonts w:cs="Times New Roman"/>
        </w:rPr>
        <w:t>NB</w:t>
      </w:r>
      <w:r>
        <w:rPr>
          <w:rFonts w:hint="eastAsia" w:cs="Times New Roman"/>
        </w:rPr>
        <w:t>-</w:t>
      </w:r>
      <w:r>
        <w:rPr>
          <w:rFonts w:cs="Times New Roman"/>
        </w:rPr>
        <w:t xml:space="preserve">T 42090 </w:t>
      </w:r>
      <w:r>
        <w:rPr>
          <w:rFonts w:hint="eastAsia" w:cs="Times New Roman"/>
        </w:rPr>
        <w:t>电化学储能电站监控预警系统技术规范</w:t>
      </w:r>
    </w:p>
    <w:p w14:paraId="6A73FD98">
      <w:pPr>
        <w:pStyle w:val="44"/>
        <w:spacing w:before="156" w:after="156"/>
        <w:ind w:firstLine="420"/>
        <w:rPr>
          <w:rFonts w:cs="Times New Roman"/>
        </w:rPr>
      </w:pPr>
      <w:r>
        <w:rPr>
          <w:rFonts w:cs="Times New Roman"/>
        </w:rPr>
        <w:t xml:space="preserve">T/FPSA 4 </w:t>
      </w:r>
      <w:r>
        <w:rPr>
          <w:rFonts w:hint="eastAsia" w:cs="Times New Roman"/>
        </w:rPr>
        <w:t>电化学储能站安全技术要求</w:t>
      </w:r>
    </w:p>
    <w:p w14:paraId="47E52DC9">
      <w:pPr>
        <w:pStyle w:val="44"/>
        <w:spacing w:before="156" w:after="156"/>
        <w:ind w:firstLine="420"/>
        <w:rPr>
          <w:rFonts w:cs="Times New Roman"/>
        </w:rPr>
      </w:pPr>
      <w:r>
        <w:rPr>
          <w:rFonts w:hint="eastAsia" w:cs="Times New Roman"/>
        </w:rPr>
        <w:t>ZB J76 009.2-88  水电解制氢设备性能试验方法</w:t>
      </w:r>
    </w:p>
    <w:p w14:paraId="608E0F3E">
      <w:pPr>
        <w:pStyle w:val="41"/>
        <w:numPr>
          <w:ilvl w:val="0"/>
          <w:numId w:val="0"/>
        </w:numPr>
        <w:rPr>
          <w:b w:val="0"/>
          <w:bCs w:val="0"/>
        </w:rPr>
      </w:pPr>
      <w:bookmarkStart w:id="7" w:name="_Toc130762912"/>
      <w:r>
        <w:rPr>
          <w:b w:val="0"/>
          <w:bCs w:val="0"/>
        </w:rPr>
        <w:t xml:space="preserve">3 </w:t>
      </w:r>
      <w:r>
        <w:rPr>
          <w:rFonts w:hint="eastAsia"/>
          <w:b w:val="0"/>
          <w:bCs w:val="0"/>
        </w:rPr>
        <w:t>术语和定义</w:t>
      </w:r>
      <w:bookmarkEnd w:id="7"/>
    </w:p>
    <w:p w14:paraId="6267B5E2">
      <w:pPr>
        <w:pStyle w:val="44"/>
        <w:spacing w:before="156" w:after="156"/>
        <w:ind w:firstLine="420"/>
      </w:pPr>
      <w:r>
        <w:t>GB/T 4776-2017</w:t>
      </w:r>
      <w:r>
        <w:rPr>
          <w:rFonts w:hint="eastAsia"/>
        </w:rPr>
        <w:t>、</w:t>
      </w:r>
      <w:r>
        <w:t>GB/T 22696.4-2011</w:t>
      </w:r>
      <w:r>
        <w:rPr>
          <w:rFonts w:hint="eastAsia"/>
        </w:rPr>
        <w:t>、</w:t>
      </w:r>
      <w:r>
        <w:t>GB/T 22696.4-2011</w:t>
      </w:r>
      <w:r>
        <w:rPr>
          <w:rFonts w:hint="eastAsia"/>
        </w:rPr>
        <w:t>、</w:t>
      </w:r>
      <w:r>
        <w:t>GB 28816-2020</w:t>
      </w:r>
      <w:r>
        <w:rPr>
          <w:rFonts w:hint="eastAsia"/>
        </w:rPr>
        <w:t>、</w:t>
      </w:r>
      <w:r>
        <w:t>GB/T 40437-2021</w:t>
      </w:r>
      <w:r>
        <w:rPr>
          <w:rFonts w:hint="eastAsia"/>
        </w:rPr>
        <w:t>、</w:t>
      </w:r>
      <w:r>
        <w:t>DL/T 2528</w:t>
      </w:r>
      <w:r>
        <w:rPr>
          <w:rFonts w:hint="eastAsia"/>
        </w:rPr>
        <w:t>界定的术语和定义适用于本文件。</w:t>
      </w:r>
    </w:p>
    <w:p w14:paraId="6BC50C57">
      <w:pPr>
        <w:pStyle w:val="66"/>
        <w:numPr>
          <w:ilvl w:val="0"/>
          <w:numId w:val="0"/>
        </w:numPr>
        <w:spacing w:before="156" w:after="156"/>
        <w:rPr>
          <w:rFonts w:cs="Times New Roman"/>
          <w:b w:val="0"/>
          <w:bCs w:val="0"/>
        </w:rPr>
      </w:pPr>
      <w:r>
        <w:rPr>
          <w:rFonts w:cs="Times New Roman"/>
          <w:b w:val="0"/>
          <w:bCs w:val="0"/>
        </w:rPr>
        <w:t xml:space="preserve">3.1 </w:t>
      </w:r>
    </w:p>
    <w:p w14:paraId="26ACC28E">
      <w:pPr>
        <w:pStyle w:val="66"/>
        <w:numPr>
          <w:ilvl w:val="0"/>
          <w:numId w:val="0"/>
        </w:numPr>
        <w:spacing w:before="156" w:after="156"/>
        <w:ind w:firstLine="420" w:firstLineChars="200"/>
        <w:rPr>
          <w:rFonts w:ascii="黑体" w:hAnsi="黑体" w:cs="Times New Roman"/>
          <w:b w:val="0"/>
          <w:bCs w:val="0"/>
        </w:rPr>
      </w:pPr>
      <w:r>
        <w:rPr>
          <w:rFonts w:hint="eastAsia" w:cs="Times New Roman"/>
          <w:b w:val="0"/>
          <w:bCs w:val="0"/>
        </w:rPr>
        <w:t xml:space="preserve">安全检查表法 </w:t>
      </w:r>
      <w:r>
        <w:rPr>
          <w:rFonts w:cs="Times New Roman"/>
          <w:b w:val="0"/>
          <w:bCs w:val="0"/>
        </w:rPr>
        <w:t xml:space="preserve">   safety check list</w:t>
      </w:r>
    </w:p>
    <w:p w14:paraId="7CBBF8F1">
      <w:pPr>
        <w:pStyle w:val="44"/>
        <w:spacing w:before="156" w:after="156"/>
        <w:ind w:firstLine="420"/>
        <w:rPr>
          <w:rFonts w:cs="Times New Roman"/>
          <w:b w:val="0"/>
          <w:bCs w:val="0"/>
        </w:rPr>
      </w:pPr>
      <w:r>
        <w:rPr>
          <w:rFonts w:hint="eastAsia" w:cs="Times New Roman"/>
          <w:b w:val="0"/>
          <w:bCs w:val="0"/>
        </w:rPr>
        <w:t>安全检查表法分为定性安全检查表法和定量安全检查表法。安全检查表法应列出危险因素，并组织专家根据等级，详见附录</w:t>
      </w:r>
      <w:r>
        <w:rPr>
          <w:rFonts w:cs="Times New Roman"/>
          <w:b w:val="0"/>
          <w:bCs w:val="0"/>
        </w:rPr>
        <w:t>A</w:t>
      </w:r>
      <w:r>
        <w:rPr>
          <w:rFonts w:hint="eastAsia" w:cs="Times New Roman"/>
          <w:b w:val="0"/>
          <w:bCs w:val="0"/>
        </w:rPr>
        <w:t>。</w:t>
      </w:r>
    </w:p>
    <w:p w14:paraId="085FC737">
      <w:pPr>
        <w:pStyle w:val="66"/>
        <w:numPr>
          <w:ilvl w:val="0"/>
          <w:numId w:val="0"/>
        </w:numPr>
        <w:spacing w:before="156" w:after="156"/>
        <w:rPr>
          <w:rFonts w:cs="Times New Roman"/>
          <w:b w:val="0"/>
          <w:bCs w:val="0"/>
        </w:rPr>
      </w:pPr>
      <w:r>
        <w:rPr>
          <w:rFonts w:cs="Times New Roman"/>
          <w:b w:val="0"/>
          <w:bCs w:val="0"/>
        </w:rPr>
        <w:t xml:space="preserve">3.2 </w:t>
      </w:r>
    </w:p>
    <w:p w14:paraId="0EB74289">
      <w:pPr>
        <w:pStyle w:val="66"/>
        <w:numPr>
          <w:ilvl w:val="0"/>
          <w:numId w:val="0"/>
        </w:numPr>
        <w:spacing w:before="156" w:after="156"/>
        <w:ind w:firstLine="420" w:firstLineChars="200"/>
        <w:rPr>
          <w:rFonts w:cs="Times New Roman"/>
          <w:b w:val="0"/>
          <w:bCs w:val="0"/>
        </w:rPr>
      </w:pPr>
      <w:r>
        <w:rPr>
          <w:rFonts w:hint="eastAsia" w:cs="Times New Roman"/>
          <w:b w:val="0"/>
          <w:bCs w:val="0"/>
        </w:rPr>
        <w:t xml:space="preserve">预先危险性分析法 </w:t>
      </w:r>
      <w:r>
        <w:rPr>
          <w:rFonts w:cs="Times New Roman"/>
          <w:b w:val="0"/>
          <w:bCs w:val="0"/>
        </w:rPr>
        <w:t xml:space="preserve">   </w:t>
      </w:r>
      <w:r>
        <w:rPr>
          <w:b w:val="0"/>
          <w:bCs w:val="0"/>
        </w:rPr>
        <w:t>preliminary hazard analysis</w:t>
      </w:r>
    </w:p>
    <w:p w14:paraId="66125A1F">
      <w:pPr>
        <w:pStyle w:val="44"/>
        <w:spacing w:before="156" w:after="156"/>
        <w:ind w:firstLine="420"/>
        <w:rPr>
          <w:rFonts w:cs="Times New Roman"/>
          <w:b w:val="0"/>
          <w:bCs w:val="0"/>
        </w:rPr>
      </w:pPr>
      <w:r>
        <w:rPr>
          <w:rFonts w:hint="eastAsia" w:cs="Times New Roman"/>
          <w:b w:val="0"/>
          <w:bCs w:val="0"/>
        </w:rPr>
        <w:t>预先危险性分析法是用来辨识系统中的危险因素和有害因素</w:t>
      </w:r>
      <w:r>
        <w:rPr>
          <w:rFonts w:cs="Times New Roman"/>
          <w:b w:val="0"/>
          <w:bCs w:val="0"/>
        </w:rPr>
        <w:t>，</w:t>
      </w:r>
      <w:r>
        <w:rPr>
          <w:rFonts w:hint="eastAsia" w:cs="Times New Roman"/>
          <w:b w:val="0"/>
          <w:bCs w:val="0"/>
        </w:rPr>
        <w:t>对其发生的可能性和严重性进行分析，提出可靠的预防事故发生的安全措施，是一种定性的分析方法，详见附录</w:t>
      </w:r>
      <w:r>
        <w:rPr>
          <w:rFonts w:cs="Times New Roman"/>
          <w:b w:val="0"/>
          <w:bCs w:val="0"/>
        </w:rPr>
        <w:t>B</w:t>
      </w:r>
      <w:r>
        <w:rPr>
          <w:rFonts w:hint="eastAsia" w:cs="Times New Roman"/>
          <w:b w:val="0"/>
          <w:bCs w:val="0"/>
        </w:rPr>
        <w:t>。</w:t>
      </w:r>
    </w:p>
    <w:p w14:paraId="194BC53A">
      <w:pPr>
        <w:pStyle w:val="66"/>
        <w:numPr>
          <w:ilvl w:val="0"/>
          <w:numId w:val="0"/>
        </w:numPr>
        <w:spacing w:before="156" w:after="156"/>
        <w:rPr>
          <w:rFonts w:cs="Times New Roman"/>
          <w:b w:val="0"/>
          <w:bCs w:val="0"/>
        </w:rPr>
      </w:pPr>
      <w:r>
        <w:rPr>
          <w:rFonts w:cs="Times New Roman"/>
          <w:b w:val="0"/>
          <w:bCs w:val="0"/>
        </w:rPr>
        <w:t xml:space="preserve">3.3 </w:t>
      </w:r>
    </w:p>
    <w:p w14:paraId="1C5068D9">
      <w:pPr>
        <w:pStyle w:val="66"/>
        <w:numPr>
          <w:ilvl w:val="0"/>
          <w:numId w:val="0"/>
        </w:numPr>
        <w:spacing w:before="156" w:after="156"/>
        <w:ind w:firstLine="420" w:firstLineChars="200"/>
        <w:rPr>
          <w:rFonts w:cs="Times New Roman"/>
          <w:b w:val="0"/>
          <w:bCs w:val="0"/>
        </w:rPr>
      </w:pPr>
      <w:r>
        <w:rPr>
          <w:rFonts w:hint="eastAsia" w:cs="Times New Roman"/>
          <w:b w:val="0"/>
          <w:bCs w:val="0"/>
        </w:rPr>
        <w:t xml:space="preserve">作业条件危险性评价法 </w:t>
      </w:r>
      <w:r>
        <w:rPr>
          <w:rFonts w:cs="Times New Roman"/>
          <w:b w:val="0"/>
          <w:bCs w:val="0"/>
        </w:rPr>
        <w:t xml:space="preserve">   </w:t>
      </w:r>
      <w:r>
        <w:rPr>
          <w:rFonts w:hint="eastAsia" w:cs="Times New Roman"/>
          <w:b w:val="0"/>
          <w:bCs w:val="0"/>
        </w:rPr>
        <w:t>likelihood</w:t>
      </w:r>
      <w:r>
        <w:rPr>
          <w:rFonts w:cs="Times New Roman"/>
          <w:b w:val="0"/>
          <w:bCs w:val="0"/>
        </w:rPr>
        <w:t xml:space="preserve"> </w:t>
      </w:r>
      <w:r>
        <w:rPr>
          <w:rFonts w:hint="eastAsia" w:cs="Times New Roman"/>
          <w:b w:val="0"/>
          <w:bCs w:val="0"/>
        </w:rPr>
        <w:t>exposure</w:t>
      </w:r>
      <w:r>
        <w:rPr>
          <w:rFonts w:cs="Times New Roman"/>
          <w:b w:val="0"/>
          <w:bCs w:val="0"/>
        </w:rPr>
        <w:t xml:space="preserve"> </w:t>
      </w:r>
      <w:r>
        <w:rPr>
          <w:rFonts w:hint="eastAsia" w:cs="Times New Roman"/>
          <w:b w:val="0"/>
          <w:bCs w:val="0"/>
        </w:rPr>
        <w:t>consequence</w:t>
      </w:r>
    </w:p>
    <w:p w14:paraId="5DA2DDCD">
      <w:pPr>
        <w:pStyle w:val="44"/>
        <w:spacing w:before="156" w:after="156"/>
        <w:ind w:firstLine="420"/>
        <w:rPr>
          <w:rFonts w:cs="Times New Roman"/>
          <w:b w:val="0"/>
          <w:bCs w:val="0"/>
        </w:rPr>
      </w:pPr>
      <w:r>
        <w:rPr>
          <w:rFonts w:hint="eastAsia" w:cs="Times New Roman"/>
          <w:b w:val="0"/>
          <w:bCs w:val="0"/>
        </w:rPr>
        <w:t>电化学储能电站在各阶段的危险源辨识可采用作业条件危险性评价法。作业条件危险性评价法简称为</w:t>
      </w:r>
      <w:r>
        <w:rPr>
          <w:rFonts w:cs="Times New Roman"/>
          <w:b w:val="0"/>
          <w:bCs w:val="0"/>
        </w:rPr>
        <w:t>LEC</w:t>
      </w:r>
      <w:r>
        <w:rPr>
          <w:rFonts w:hint="eastAsia" w:cs="Times New Roman"/>
          <w:b w:val="0"/>
          <w:bCs w:val="0"/>
        </w:rPr>
        <w:t>法，根据安全生产活动中的实际</w:t>
      </w:r>
      <w:r>
        <w:rPr>
          <w:rFonts w:cs="Times New Roman"/>
          <w:b w:val="0"/>
          <w:bCs w:val="0"/>
        </w:rPr>
        <w:t>L（</w:t>
      </w:r>
      <w:r>
        <w:rPr>
          <w:rFonts w:hint="eastAsia" w:cs="Times New Roman"/>
          <w:b w:val="0"/>
          <w:bCs w:val="0"/>
        </w:rPr>
        <w:t>发生事故或危险事件的可能性大小</w:t>
      </w:r>
      <w:r>
        <w:rPr>
          <w:rFonts w:cs="Times New Roman"/>
          <w:b w:val="0"/>
          <w:bCs w:val="0"/>
        </w:rPr>
        <w:t>）</w:t>
      </w:r>
      <w:r>
        <w:rPr>
          <w:rFonts w:hint="eastAsia" w:cs="Times New Roman"/>
          <w:b w:val="0"/>
          <w:bCs w:val="0"/>
        </w:rPr>
        <w:t>、</w:t>
      </w:r>
      <w:r>
        <w:rPr>
          <w:rFonts w:cs="Times New Roman"/>
          <w:b w:val="0"/>
          <w:bCs w:val="0"/>
        </w:rPr>
        <w:t>E（</w:t>
      </w:r>
      <w:r>
        <w:rPr>
          <w:rFonts w:hint="eastAsia" w:cs="Times New Roman"/>
          <w:b w:val="0"/>
          <w:bCs w:val="0"/>
        </w:rPr>
        <w:t>暴露于危险环境的频繁程度</w:t>
      </w:r>
      <w:r>
        <w:rPr>
          <w:rFonts w:cs="Times New Roman"/>
          <w:b w:val="0"/>
          <w:bCs w:val="0"/>
        </w:rPr>
        <w:t>）</w:t>
      </w:r>
      <w:r>
        <w:rPr>
          <w:rFonts w:hint="eastAsia" w:cs="Times New Roman"/>
          <w:b w:val="0"/>
          <w:bCs w:val="0"/>
        </w:rPr>
        <w:t>、</w:t>
      </w:r>
      <w:r>
        <w:rPr>
          <w:rFonts w:cs="Times New Roman"/>
          <w:b w:val="0"/>
          <w:bCs w:val="0"/>
        </w:rPr>
        <w:t>C（</w:t>
      </w:r>
      <w:r>
        <w:rPr>
          <w:rFonts w:hint="eastAsia" w:cs="Times New Roman"/>
          <w:b w:val="0"/>
          <w:bCs w:val="0"/>
        </w:rPr>
        <w:t>发生事故后可能产生后果的严重程度</w:t>
      </w:r>
      <w:r>
        <w:rPr>
          <w:rFonts w:cs="Times New Roman"/>
          <w:b w:val="0"/>
          <w:bCs w:val="0"/>
        </w:rPr>
        <w:t>）</w:t>
      </w:r>
      <w:r>
        <w:rPr>
          <w:rFonts w:hint="eastAsia" w:cs="Times New Roman"/>
          <w:b w:val="0"/>
          <w:bCs w:val="0"/>
        </w:rPr>
        <w:t>，计算得到D</w:t>
      </w:r>
      <w:r>
        <w:rPr>
          <w:rFonts w:cs="Times New Roman"/>
          <w:b w:val="0"/>
          <w:bCs w:val="0"/>
        </w:rPr>
        <w:t xml:space="preserve"> = L</w:t>
      </w:r>
      <w:r>
        <w:rPr>
          <w:rFonts w:hint="eastAsia" w:cs="Times New Roman"/>
          <w:b w:val="0"/>
          <w:bCs w:val="0"/>
        </w:rPr>
        <w:sym w:font="Wingdings 2" w:char="F095"/>
      </w:r>
      <w:r>
        <w:rPr>
          <w:rFonts w:cs="Times New Roman"/>
          <w:b w:val="0"/>
          <w:bCs w:val="0"/>
        </w:rPr>
        <w:t>E</w:t>
      </w:r>
      <w:r>
        <w:rPr>
          <w:rFonts w:hint="eastAsia" w:cs="Times New Roman"/>
          <w:b w:val="0"/>
          <w:bCs w:val="0"/>
        </w:rPr>
        <w:sym w:font="Wingdings 2" w:char="F095"/>
      </w:r>
      <w:r>
        <w:rPr>
          <w:rFonts w:cs="Times New Roman"/>
          <w:b w:val="0"/>
          <w:bCs w:val="0"/>
        </w:rPr>
        <w:t>C</w:t>
      </w:r>
      <w:r>
        <w:rPr>
          <w:rFonts w:hint="eastAsia" w:cs="Times New Roman"/>
          <w:b w:val="0"/>
          <w:bCs w:val="0"/>
        </w:rPr>
        <w:t>，进而由判据D值来确定电化学储能电站危险源程度和等级。作业条件危险性评价法见附录</w:t>
      </w:r>
      <w:r>
        <w:rPr>
          <w:rFonts w:cs="Times New Roman"/>
          <w:b w:val="0"/>
          <w:bCs w:val="0"/>
        </w:rPr>
        <w:t>C</w:t>
      </w:r>
      <w:r>
        <w:rPr>
          <w:rFonts w:hint="eastAsia" w:cs="Times New Roman"/>
          <w:b w:val="0"/>
          <w:bCs w:val="0"/>
        </w:rPr>
        <w:t>。</w:t>
      </w:r>
    </w:p>
    <w:p w14:paraId="355C2D33">
      <w:pPr>
        <w:pStyle w:val="66"/>
        <w:numPr>
          <w:ilvl w:val="0"/>
          <w:numId w:val="0"/>
        </w:numPr>
        <w:spacing w:before="156" w:after="156"/>
        <w:rPr>
          <w:rFonts w:cs="Times New Roman"/>
          <w:b w:val="0"/>
          <w:bCs w:val="0"/>
        </w:rPr>
      </w:pPr>
      <w:r>
        <w:rPr>
          <w:rFonts w:cs="Times New Roman"/>
          <w:b w:val="0"/>
          <w:bCs w:val="0"/>
        </w:rPr>
        <w:t xml:space="preserve">3.4 </w:t>
      </w:r>
    </w:p>
    <w:p w14:paraId="450574DB">
      <w:pPr>
        <w:pStyle w:val="66"/>
        <w:numPr>
          <w:ilvl w:val="0"/>
          <w:numId w:val="0"/>
        </w:numPr>
        <w:spacing w:before="156" w:after="156"/>
        <w:ind w:firstLine="420" w:firstLineChars="200"/>
        <w:rPr>
          <w:rFonts w:cs="Times New Roman"/>
          <w:b w:val="0"/>
          <w:bCs w:val="0"/>
        </w:rPr>
      </w:pPr>
      <w:r>
        <w:rPr>
          <w:rFonts w:hint="eastAsia" w:cs="Times New Roman"/>
          <w:b w:val="0"/>
          <w:bCs w:val="0"/>
        </w:rPr>
        <w:t>危险与可操作性分析法</w:t>
      </w:r>
      <w:r>
        <w:rPr>
          <w:rFonts w:cs="Times New Roman"/>
          <w:b w:val="0"/>
          <w:bCs w:val="0"/>
        </w:rPr>
        <w:t xml:space="preserve">    </w:t>
      </w:r>
      <w:r>
        <w:rPr>
          <w:b w:val="0"/>
          <w:bCs w:val="0"/>
        </w:rPr>
        <w:t>hazard and operability study</w:t>
      </w:r>
    </w:p>
    <w:p w14:paraId="0ED3A7E8">
      <w:pPr>
        <w:pStyle w:val="44"/>
        <w:spacing w:before="156" w:after="156"/>
        <w:ind w:firstLine="420"/>
        <w:rPr>
          <w:rFonts w:cs="Times New Roman"/>
          <w:b w:val="0"/>
          <w:bCs w:val="0"/>
        </w:rPr>
      </w:pPr>
      <w:r>
        <w:rPr>
          <w:rFonts w:hint="eastAsia" w:cs="Times New Roman"/>
          <w:b w:val="0"/>
          <w:bCs w:val="0"/>
        </w:rPr>
        <w:t>危险与可操作性分析法是以系统工程为基础，主要针对化工设备装置、电气设备装置而开发的危险性评价方法。该方法研究的基本过程是以关键词为引导，寻找系统中工艺过程或状态的偏差，然后再进一步分析造成该变化的原因、可能的后果，并有针对地提出必要的预防对策措施。详见附录</w:t>
      </w:r>
      <w:r>
        <w:rPr>
          <w:rFonts w:cs="Times New Roman"/>
          <w:b w:val="0"/>
          <w:bCs w:val="0"/>
        </w:rPr>
        <w:t>D</w:t>
      </w:r>
      <w:r>
        <w:rPr>
          <w:rFonts w:hint="eastAsia" w:cs="Times New Roman"/>
          <w:b w:val="0"/>
          <w:bCs w:val="0"/>
        </w:rPr>
        <w:t>。</w:t>
      </w:r>
    </w:p>
    <w:p w14:paraId="3CE5DF50">
      <w:pPr>
        <w:pStyle w:val="66"/>
        <w:numPr>
          <w:ilvl w:val="0"/>
          <w:numId w:val="0"/>
        </w:numPr>
        <w:spacing w:before="156" w:after="156"/>
        <w:rPr>
          <w:rFonts w:cs="Times New Roman"/>
          <w:b w:val="0"/>
          <w:bCs w:val="0"/>
        </w:rPr>
      </w:pPr>
      <w:r>
        <w:rPr>
          <w:rFonts w:cs="Times New Roman"/>
          <w:b w:val="0"/>
          <w:bCs w:val="0"/>
        </w:rPr>
        <w:t xml:space="preserve">3.5 </w:t>
      </w:r>
    </w:p>
    <w:p w14:paraId="46C6A431">
      <w:pPr>
        <w:pStyle w:val="66"/>
        <w:numPr>
          <w:ilvl w:val="0"/>
          <w:numId w:val="0"/>
        </w:numPr>
        <w:spacing w:before="156" w:after="156"/>
        <w:ind w:firstLine="420" w:firstLineChars="200"/>
        <w:rPr>
          <w:rFonts w:cs="Times New Roman"/>
          <w:b w:val="0"/>
          <w:bCs w:val="0"/>
        </w:rPr>
      </w:pPr>
      <w:r>
        <w:rPr>
          <w:rFonts w:hint="eastAsia" w:cs="Times New Roman"/>
          <w:b w:val="0"/>
          <w:bCs w:val="0"/>
        </w:rPr>
        <w:t xml:space="preserve">失效模式与影响性分析法 </w:t>
      </w:r>
      <w:r>
        <w:rPr>
          <w:rFonts w:cs="Times New Roman"/>
          <w:b w:val="0"/>
          <w:bCs w:val="0"/>
        </w:rPr>
        <w:t xml:space="preserve">   </w:t>
      </w:r>
      <w:r>
        <w:rPr>
          <w:rStyle w:val="117"/>
          <w:b w:val="0"/>
          <w:bCs w:val="0"/>
        </w:rPr>
        <w:t>failure mode effects analysis</w:t>
      </w:r>
    </w:p>
    <w:p w14:paraId="416CD9E3">
      <w:pPr>
        <w:pStyle w:val="44"/>
        <w:spacing w:before="156" w:after="156"/>
        <w:ind w:firstLine="420"/>
        <w:rPr>
          <w:rFonts w:cs="Times New Roman"/>
          <w:b w:val="0"/>
          <w:bCs w:val="0"/>
        </w:rPr>
      </w:pPr>
      <w:r>
        <w:rPr>
          <w:rFonts w:hint="eastAsia" w:cs="Times New Roman"/>
          <w:b w:val="0"/>
          <w:bCs w:val="0"/>
        </w:rPr>
        <w:t>失效模式与影响性分析法简称</w:t>
      </w:r>
      <w:r>
        <w:rPr>
          <w:rFonts w:cs="Times New Roman"/>
          <w:b w:val="0"/>
          <w:bCs w:val="0"/>
        </w:rPr>
        <w:t>FMEA</w:t>
      </w:r>
      <w:r>
        <w:rPr>
          <w:rFonts w:hint="eastAsia" w:cs="Times New Roman"/>
          <w:b w:val="0"/>
          <w:bCs w:val="0"/>
        </w:rPr>
        <w:t>，由失效模式</w:t>
      </w:r>
      <w:r>
        <w:rPr>
          <w:rFonts w:cs="Times New Roman"/>
          <w:b w:val="0"/>
          <w:bCs w:val="0"/>
        </w:rPr>
        <w:t>（FM）</w:t>
      </w:r>
      <w:r>
        <w:rPr>
          <w:rFonts w:hint="eastAsia" w:cs="Times New Roman"/>
          <w:b w:val="0"/>
          <w:bCs w:val="0"/>
        </w:rPr>
        <w:t>和影响分析</w:t>
      </w:r>
      <w:r>
        <w:rPr>
          <w:rFonts w:cs="Times New Roman"/>
          <w:b w:val="0"/>
          <w:bCs w:val="0"/>
        </w:rPr>
        <w:t>（EA）</w:t>
      </w:r>
      <w:r>
        <w:rPr>
          <w:rFonts w:hint="eastAsia" w:cs="Times New Roman"/>
          <w:b w:val="0"/>
          <w:bCs w:val="0"/>
        </w:rPr>
        <w:t>两部分组成</w:t>
      </w:r>
      <w:r>
        <w:rPr>
          <w:rFonts w:cs="Times New Roman"/>
          <w:b w:val="0"/>
          <w:bCs w:val="0"/>
        </w:rPr>
        <w:t>.</w:t>
      </w:r>
      <w:r>
        <w:rPr>
          <w:rFonts w:hint="eastAsia" w:cs="Times New Roman"/>
          <w:b w:val="0"/>
          <w:bCs w:val="0"/>
        </w:rPr>
        <w:t>失效模式</w:t>
      </w:r>
      <w:r>
        <w:rPr>
          <w:rFonts w:cs="Times New Roman"/>
          <w:b w:val="0"/>
          <w:bCs w:val="0"/>
        </w:rPr>
        <w:t>（FM）</w:t>
      </w:r>
      <w:r>
        <w:rPr>
          <w:rFonts w:hint="eastAsia" w:cs="Times New Roman"/>
          <w:b w:val="0"/>
          <w:bCs w:val="0"/>
        </w:rPr>
        <w:t>是指能被观察到的错误和缺陷现象如操作程序不正确</w:t>
      </w:r>
      <w:r>
        <w:rPr>
          <w:rFonts w:cs="Times New Roman"/>
          <w:b w:val="0"/>
          <w:bCs w:val="0"/>
        </w:rPr>
        <w:t>，</w:t>
      </w:r>
      <w:r>
        <w:rPr>
          <w:rFonts w:hint="eastAsia" w:cs="Times New Roman"/>
          <w:b w:val="0"/>
          <w:bCs w:val="0"/>
        </w:rPr>
        <w:t>线路接触不良</w:t>
      </w:r>
      <w:r>
        <w:rPr>
          <w:rFonts w:cs="Times New Roman"/>
          <w:b w:val="0"/>
          <w:bCs w:val="0"/>
        </w:rPr>
        <w:t>，</w:t>
      </w:r>
      <w:r>
        <w:rPr>
          <w:rFonts w:hint="eastAsia" w:cs="Times New Roman"/>
          <w:b w:val="0"/>
          <w:bCs w:val="0"/>
        </w:rPr>
        <w:t>产品并裂等；影响分析</w:t>
      </w:r>
      <w:r>
        <w:rPr>
          <w:rFonts w:cs="Times New Roman"/>
          <w:b w:val="0"/>
          <w:bCs w:val="0"/>
        </w:rPr>
        <w:t>（A）</w:t>
      </w:r>
      <w:r>
        <w:rPr>
          <w:rFonts w:hint="eastAsia" w:cs="Times New Roman"/>
          <w:b w:val="0"/>
          <w:bCs w:val="0"/>
        </w:rPr>
        <w:t>是指通过分析该关效模式对系统的安全和功能的影响程度，提出可以或可能采取的预防改进措施</w:t>
      </w:r>
      <w:r>
        <w:rPr>
          <w:rFonts w:cs="Times New Roman"/>
          <w:b w:val="0"/>
          <w:bCs w:val="0"/>
        </w:rPr>
        <w:t>，</w:t>
      </w:r>
      <w:r>
        <w:rPr>
          <w:rFonts w:hint="eastAsia" w:cs="Times New Roman"/>
          <w:b w:val="0"/>
          <w:bCs w:val="0"/>
        </w:rPr>
        <w:t>提高过程质量的技术，详见附录</w:t>
      </w:r>
      <w:r>
        <w:rPr>
          <w:rFonts w:cs="Times New Roman"/>
          <w:b w:val="0"/>
          <w:bCs w:val="0"/>
        </w:rPr>
        <w:t>E</w:t>
      </w:r>
      <w:r>
        <w:rPr>
          <w:rFonts w:hint="eastAsia" w:cs="Times New Roman"/>
          <w:b w:val="0"/>
          <w:bCs w:val="0"/>
        </w:rPr>
        <w:t>。</w:t>
      </w:r>
    </w:p>
    <w:p w14:paraId="5F2DBCF8">
      <w:pPr>
        <w:pStyle w:val="66"/>
        <w:numPr>
          <w:ilvl w:val="0"/>
          <w:numId w:val="0"/>
        </w:numPr>
        <w:spacing w:before="156" w:after="156"/>
        <w:rPr>
          <w:b w:val="0"/>
          <w:bCs w:val="0"/>
        </w:rPr>
      </w:pPr>
      <w:r>
        <w:rPr>
          <w:rFonts w:hint="eastAsia"/>
          <w:b w:val="0"/>
          <w:bCs w:val="0"/>
        </w:rPr>
        <w:t>3</w:t>
      </w:r>
      <w:r>
        <w:rPr>
          <w:b w:val="0"/>
          <w:bCs w:val="0"/>
        </w:rPr>
        <w:t xml:space="preserve">.6 </w:t>
      </w:r>
    </w:p>
    <w:p w14:paraId="5A733AE1">
      <w:pPr>
        <w:pStyle w:val="66"/>
        <w:numPr>
          <w:ilvl w:val="0"/>
          <w:numId w:val="0"/>
        </w:numPr>
        <w:spacing w:before="156" w:after="156"/>
        <w:ind w:firstLine="420" w:firstLineChars="200"/>
        <w:rPr>
          <w:b w:val="0"/>
          <w:bCs w:val="0"/>
        </w:rPr>
      </w:pPr>
      <w:r>
        <w:rPr>
          <w:rFonts w:hint="eastAsia"/>
          <w:b w:val="0"/>
          <w:bCs w:val="0"/>
        </w:rPr>
        <w:t>电气二次设备</w:t>
      </w:r>
      <w:r>
        <w:rPr>
          <w:b w:val="0"/>
          <w:bCs w:val="0"/>
        </w:rPr>
        <w:t xml:space="preserve">    </w:t>
      </w:r>
      <w:r>
        <w:rPr>
          <w:rFonts w:hint="eastAsia"/>
          <w:b w:val="0"/>
          <w:bCs w:val="0"/>
        </w:rPr>
        <w:t>e</w:t>
      </w:r>
      <w:r>
        <w:rPr>
          <w:b w:val="0"/>
          <w:bCs w:val="0"/>
        </w:rPr>
        <w:t>lectrical secondary equipment</w:t>
      </w:r>
    </w:p>
    <w:p w14:paraId="27550B57">
      <w:pPr>
        <w:pStyle w:val="44"/>
        <w:spacing w:before="156" w:after="156"/>
        <w:ind w:firstLine="420"/>
        <w:rPr>
          <w:b w:val="0"/>
          <w:bCs w:val="0"/>
        </w:rPr>
      </w:pPr>
      <w:r>
        <w:rPr>
          <w:rFonts w:hint="eastAsia"/>
          <w:b w:val="0"/>
          <w:bCs w:val="0"/>
        </w:rPr>
        <w:t>电化学储能电站中</w:t>
      </w:r>
      <w:r>
        <w:rPr>
          <w:b w:val="0"/>
          <w:bCs w:val="0"/>
        </w:rPr>
        <w:t>除了储能电池、变流器、变压器和</w:t>
      </w:r>
      <w:r>
        <w:rPr>
          <w:rFonts w:hint="eastAsia"/>
          <w:b w:val="0"/>
          <w:bCs w:val="0"/>
        </w:rPr>
        <w:t>电池管理系统</w:t>
      </w:r>
      <w:r>
        <w:rPr>
          <w:b w:val="0"/>
          <w:bCs w:val="0"/>
        </w:rPr>
        <w:t>之外的其他用于电力传输、控制和保护</w:t>
      </w:r>
      <w:r>
        <w:rPr>
          <w:rFonts w:hint="eastAsia"/>
          <w:b w:val="0"/>
          <w:bCs w:val="0"/>
        </w:rPr>
        <w:t>的电气设备，包括但不限于：直流/交流汇流条、直流/交流断路器、直流/交流电压互感器、直流/交流电流互感器、直流/交流电压、电流采样器、直流/交流配电柜、控制系统、通信系统等。</w:t>
      </w:r>
    </w:p>
    <w:p w14:paraId="61C111A7">
      <w:pPr>
        <w:pStyle w:val="41"/>
        <w:numPr>
          <w:ilvl w:val="0"/>
          <w:numId w:val="0"/>
        </w:numPr>
        <w:rPr>
          <w:rFonts w:cs="Times New Roman"/>
          <w:b w:val="0"/>
          <w:bCs w:val="0"/>
        </w:rPr>
      </w:pPr>
      <w:bookmarkStart w:id="8" w:name="_Toc130762913"/>
      <w:r>
        <w:rPr>
          <w:rFonts w:cs="Times New Roman"/>
          <w:b w:val="0"/>
          <w:bCs w:val="0"/>
        </w:rPr>
        <w:t xml:space="preserve">4 </w:t>
      </w:r>
      <w:r>
        <w:rPr>
          <w:rFonts w:hint="eastAsia" w:cs="Times New Roman"/>
          <w:b w:val="0"/>
          <w:bCs w:val="0"/>
        </w:rPr>
        <w:t>总则</w:t>
      </w:r>
      <w:bookmarkEnd w:id="8"/>
    </w:p>
    <w:p w14:paraId="4FF1DCE4">
      <w:pPr>
        <w:pStyle w:val="44"/>
        <w:spacing w:before="156" w:after="156"/>
        <w:ind w:firstLine="420"/>
        <w:rPr>
          <w:rFonts w:cs="Times New Roman"/>
        </w:rPr>
      </w:pPr>
      <w:bookmarkStart w:id="9" w:name="_Toc942023"/>
      <w:bookmarkEnd w:id="9"/>
      <w:bookmarkStart w:id="10" w:name="_Toc1651886"/>
      <w:bookmarkEnd w:id="10"/>
      <w:bookmarkStart w:id="11" w:name="_Toc942352"/>
      <w:bookmarkEnd w:id="11"/>
      <w:r>
        <w:rPr>
          <w:rFonts w:hint="eastAsia" w:cs="Times New Roman"/>
        </w:rPr>
        <w:t>储能电站安全风险预警需要遵循一定的逻辑流程，具体包括预警要素确定、预警要素监测、预警等级确定、预警措施实施、安全风险预警。</w:t>
      </w:r>
    </w:p>
    <w:p w14:paraId="42B46EAE">
      <w:pPr>
        <w:pStyle w:val="44"/>
        <w:spacing w:before="156" w:after="156"/>
        <w:ind w:firstLine="420"/>
        <w:rPr>
          <w:rFonts w:cs="Times New Roman"/>
        </w:rPr>
      </w:pPr>
      <w:r>
        <w:rPr>
          <w:rFonts w:hint="eastAsia" w:cs="Times New Roman"/>
        </w:rPr>
        <w:t>电气安全风险预警需要满足可操作性要求、信息的实效性要求、动态更新要求、兼容与协调性要求等。</w:t>
      </w:r>
    </w:p>
    <w:p w14:paraId="0C074CBB">
      <w:pPr>
        <w:pStyle w:val="44"/>
        <w:spacing w:before="156" w:after="156"/>
        <w:ind w:firstLine="420"/>
        <w:rPr>
          <w:rFonts w:cs="Times New Roman"/>
        </w:rPr>
      </w:pPr>
      <w:r>
        <w:rPr>
          <w:rFonts w:hint="eastAsia" w:cs="Times New Roman"/>
        </w:rPr>
        <w:t>电化学储能电站除应遵循本规范外，尚应遵循国家现行有关标准的规定。</w:t>
      </w:r>
    </w:p>
    <w:p w14:paraId="26847B90">
      <w:pPr>
        <w:pStyle w:val="41"/>
        <w:numPr>
          <w:ilvl w:val="0"/>
          <w:numId w:val="0"/>
        </w:numPr>
        <w:rPr>
          <w:rFonts w:cs="Times New Roman"/>
          <w:b w:val="0"/>
          <w:bCs w:val="0"/>
        </w:rPr>
      </w:pPr>
      <w:bookmarkStart w:id="12" w:name="_Toc942024"/>
      <w:bookmarkEnd w:id="12"/>
      <w:bookmarkStart w:id="13" w:name="_Toc1651887"/>
      <w:bookmarkEnd w:id="13"/>
      <w:bookmarkStart w:id="14" w:name="_Toc942353"/>
      <w:bookmarkEnd w:id="14"/>
      <w:bookmarkStart w:id="15" w:name="_Toc130762914"/>
      <w:r>
        <w:rPr>
          <w:rFonts w:cs="Times New Roman"/>
          <w:b w:val="0"/>
          <w:bCs w:val="0"/>
        </w:rPr>
        <w:t xml:space="preserve">5 </w:t>
      </w:r>
      <w:r>
        <w:rPr>
          <w:rFonts w:hint="eastAsia" w:cs="Times New Roman"/>
          <w:b w:val="0"/>
          <w:bCs w:val="0"/>
        </w:rPr>
        <w:t>预警安全风险要素辨识</w:t>
      </w:r>
      <w:bookmarkEnd w:id="15"/>
    </w:p>
    <w:p w14:paraId="59CA8318">
      <w:pPr>
        <w:pStyle w:val="57"/>
        <w:numPr>
          <w:ilvl w:val="0"/>
          <w:numId w:val="0"/>
        </w:numPr>
        <w:rPr>
          <w:rFonts w:cs="Times New Roman"/>
          <w:b w:val="0"/>
          <w:bCs w:val="0"/>
        </w:rPr>
      </w:pPr>
      <w:bookmarkStart w:id="16" w:name="_Toc130762915"/>
      <w:r>
        <w:rPr>
          <w:rFonts w:cs="Times New Roman"/>
          <w:b w:val="0"/>
          <w:bCs w:val="0"/>
        </w:rPr>
        <w:t xml:space="preserve">5.1 </w:t>
      </w:r>
      <w:r>
        <w:rPr>
          <w:rFonts w:hint="eastAsia" w:cs="Times New Roman"/>
          <w:b w:val="0"/>
          <w:bCs w:val="0"/>
        </w:rPr>
        <w:t>辨识方法</w:t>
      </w:r>
      <w:bookmarkEnd w:id="16"/>
    </w:p>
    <w:p w14:paraId="46ADEB3F">
      <w:pPr>
        <w:pStyle w:val="44"/>
        <w:spacing w:before="156" w:after="156"/>
        <w:ind w:firstLine="420"/>
        <w:rPr>
          <w:rFonts w:cs="Times New Roman"/>
        </w:rPr>
      </w:pPr>
      <w:r>
        <w:rPr>
          <w:rFonts w:hint="eastAsia" w:cs="Times New Roman"/>
        </w:rPr>
        <w:t>电化学储能电站危险源辨识方法可参考</w:t>
      </w:r>
      <w:r>
        <w:rPr>
          <w:rFonts w:cs="Times New Roman"/>
        </w:rPr>
        <w:t>GB/T 40437</w:t>
      </w:r>
      <w:r>
        <w:rPr>
          <w:rFonts w:hint="eastAsia" w:cs="Times New Roman"/>
        </w:rPr>
        <w:t>，根据不同检查或应用场景、级别进行调整，主要方法有安全检查表法、预先危险性分析法、作业条件危险性分析法、危险与可操作性分析法、失效模式与影响分析法等。</w:t>
      </w:r>
    </w:p>
    <w:p w14:paraId="57974223">
      <w:pPr>
        <w:pStyle w:val="57"/>
        <w:numPr>
          <w:ilvl w:val="0"/>
          <w:numId w:val="0"/>
        </w:numPr>
        <w:rPr>
          <w:rFonts w:cs="Times New Roman"/>
          <w:b w:val="0"/>
          <w:bCs w:val="0"/>
        </w:rPr>
      </w:pPr>
      <w:bookmarkStart w:id="17" w:name="_Toc130762916"/>
      <w:r>
        <w:rPr>
          <w:rFonts w:cs="Times New Roman"/>
          <w:b w:val="0"/>
          <w:bCs w:val="0"/>
        </w:rPr>
        <w:t xml:space="preserve">5.2 </w:t>
      </w:r>
      <w:r>
        <w:rPr>
          <w:rFonts w:hint="eastAsia" w:cs="Times New Roman"/>
          <w:b w:val="0"/>
          <w:bCs w:val="0"/>
        </w:rPr>
        <w:t>辨识内容</w:t>
      </w:r>
      <w:bookmarkEnd w:id="17"/>
    </w:p>
    <w:p w14:paraId="281519AA">
      <w:pPr>
        <w:pStyle w:val="66"/>
        <w:numPr>
          <w:ilvl w:val="0"/>
          <w:numId w:val="0"/>
        </w:numPr>
        <w:spacing w:before="156" w:after="156"/>
        <w:rPr>
          <w:rFonts w:cs="Times New Roman"/>
          <w:b w:val="0"/>
          <w:bCs w:val="0"/>
        </w:rPr>
      </w:pPr>
      <w:r>
        <w:rPr>
          <w:rFonts w:cs="Times New Roman"/>
          <w:b w:val="0"/>
          <w:bCs w:val="0"/>
        </w:rPr>
        <w:t xml:space="preserve">5.2.1 </w:t>
      </w:r>
      <w:r>
        <w:rPr>
          <w:rFonts w:hint="eastAsia" w:cs="Times New Roman"/>
          <w:b w:val="0"/>
          <w:bCs w:val="0"/>
        </w:rPr>
        <w:t>储能电池</w:t>
      </w:r>
    </w:p>
    <w:p w14:paraId="627360D2">
      <w:pPr>
        <w:pStyle w:val="44"/>
        <w:spacing w:before="156" w:after="156"/>
        <w:ind w:firstLine="420"/>
      </w:pPr>
      <w:r>
        <w:rPr>
          <w:rFonts w:hint="eastAsia"/>
        </w:rPr>
        <w:t>对各类型的电池，危险辨识内容均应包括但不限于以下内容：</w:t>
      </w:r>
    </w:p>
    <w:p w14:paraId="544324A9">
      <w:pPr>
        <w:pStyle w:val="76"/>
        <w:numPr>
          <w:ilvl w:val="0"/>
          <w:numId w:val="0"/>
        </w:numPr>
        <w:spacing w:before="156" w:after="156"/>
        <w:rPr>
          <w:rFonts w:cs="Times New Roman"/>
        </w:rPr>
      </w:pPr>
      <w:bookmarkStart w:id="18" w:name="_Toc3919"/>
      <w:r>
        <w:rPr>
          <w:rFonts w:hint="eastAsia" w:cs="Times New Roman"/>
        </w:rPr>
        <w:t>表1 储能电池危险辨识内容</w:t>
      </w:r>
      <w:bookmarkEnd w:id="18"/>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2820"/>
        <w:gridCol w:w="3701"/>
      </w:tblGrid>
      <w:tr w14:paraId="408C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14:paraId="28374D77">
            <w:pPr>
              <w:pStyle w:val="44"/>
              <w:spacing w:before="0" w:beforeLines="0" w:after="0" w:afterLines="0"/>
              <w:ind w:firstLine="0" w:firstLineChars="0"/>
              <w:jc w:val="center"/>
              <w:rPr>
                <w:rFonts w:cs="Times New Roman"/>
                <w:kern w:val="0"/>
                <w:sz w:val="20"/>
              </w:rPr>
            </w:pPr>
            <w:r>
              <w:rPr>
                <w:rFonts w:hint="eastAsia" w:cs="Times New Roman"/>
                <w:kern w:val="0"/>
                <w:sz w:val="20"/>
              </w:rPr>
              <w:t>电池类别</w:t>
            </w:r>
          </w:p>
        </w:tc>
        <w:tc>
          <w:tcPr>
            <w:tcW w:w="2820" w:type="dxa"/>
            <w:vAlign w:val="center"/>
          </w:tcPr>
          <w:p w14:paraId="1295A1AD">
            <w:pPr>
              <w:pStyle w:val="44"/>
              <w:spacing w:before="0" w:beforeLines="0" w:after="0" w:afterLines="0"/>
              <w:ind w:firstLine="0" w:firstLineChars="0"/>
              <w:jc w:val="center"/>
              <w:rPr>
                <w:rFonts w:cs="Times New Roman"/>
                <w:kern w:val="0"/>
                <w:sz w:val="20"/>
              </w:rPr>
            </w:pPr>
            <w:r>
              <w:rPr>
                <w:rFonts w:hint="eastAsia" w:cs="Times New Roman"/>
                <w:kern w:val="0"/>
                <w:sz w:val="20"/>
              </w:rPr>
              <w:t>辨识内容</w:t>
            </w:r>
          </w:p>
        </w:tc>
        <w:tc>
          <w:tcPr>
            <w:tcW w:w="3701" w:type="dxa"/>
            <w:vAlign w:val="center"/>
          </w:tcPr>
          <w:p w14:paraId="4D4C39FD">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r>
      <w:tr w14:paraId="49DE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restart"/>
            <w:vAlign w:val="center"/>
          </w:tcPr>
          <w:p w14:paraId="6CEB7A3A">
            <w:pPr>
              <w:pStyle w:val="44"/>
              <w:spacing w:before="0" w:beforeLines="0" w:after="0" w:afterLines="0"/>
              <w:ind w:firstLine="0" w:firstLineChars="0"/>
              <w:jc w:val="center"/>
              <w:rPr>
                <w:rFonts w:cs="Times New Roman"/>
                <w:kern w:val="0"/>
                <w:sz w:val="20"/>
              </w:rPr>
            </w:pPr>
            <w:r>
              <w:rPr>
                <w:rFonts w:hint="eastAsia" w:cs="Times New Roman"/>
                <w:kern w:val="0"/>
                <w:sz w:val="20"/>
              </w:rPr>
              <w:t>所有类型电池</w:t>
            </w:r>
          </w:p>
        </w:tc>
        <w:tc>
          <w:tcPr>
            <w:tcW w:w="2820" w:type="dxa"/>
            <w:vAlign w:val="center"/>
          </w:tcPr>
          <w:p w14:paraId="63FCD145">
            <w:pPr>
              <w:pStyle w:val="44"/>
              <w:spacing w:before="0" w:beforeLines="0" w:after="0" w:afterLines="0"/>
              <w:ind w:firstLine="0" w:firstLineChars="0"/>
              <w:jc w:val="center"/>
              <w:rPr>
                <w:rFonts w:cs="Times New Roman"/>
                <w:kern w:val="0"/>
                <w:sz w:val="20"/>
              </w:rPr>
            </w:pPr>
            <w:r>
              <w:rPr>
                <w:rFonts w:hint="eastAsia" w:cs="Times New Roman"/>
                <w:kern w:val="0"/>
                <w:sz w:val="20"/>
              </w:rPr>
              <w:t>机械结构</w:t>
            </w:r>
          </w:p>
        </w:tc>
        <w:tc>
          <w:tcPr>
            <w:tcW w:w="3701" w:type="dxa"/>
            <w:vAlign w:val="center"/>
          </w:tcPr>
          <w:p w14:paraId="06C72210">
            <w:pPr>
              <w:pStyle w:val="44"/>
              <w:spacing w:before="0" w:beforeLines="0" w:after="0" w:afterLines="0"/>
              <w:ind w:firstLine="0" w:firstLineChars="0"/>
              <w:jc w:val="center"/>
              <w:rPr>
                <w:rFonts w:cs="Times New Roman"/>
                <w:kern w:val="0"/>
                <w:sz w:val="20"/>
              </w:rPr>
            </w:pPr>
            <w:r>
              <w:rPr>
                <w:rFonts w:hint="eastAsia" w:cs="Times New Roman"/>
                <w:kern w:val="0"/>
                <w:sz w:val="20"/>
              </w:rPr>
              <w:t>机械结构变形≥1</w:t>
            </w:r>
            <w:r>
              <w:rPr>
                <w:rFonts w:cs="Times New Roman"/>
                <w:kern w:val="0"/>
                <w:sz w:val="20"/>
              </w:rPr>
              <w:t>0%</w:t>
            </w:r>
            <w:r>
              <w:rPr>
                <w:rFonts w:hint="eastAsia" w:cs="Times New Roman"/>
                <w:kern w:val="0"/>
                <w:sz w:val="20"/>
              </w:rPr>
              <w:t>、外壳破损、零部件损坏、机械结构腐蚀</w:t>
            </w:r>
          </w:p>
        </w:tc>
      </w:tr>
      <w:tr w14:paraId="09A4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2C420383">
            <w:pPr>
              <w:pStyle w:val="44"/>
              <w:spacing w:before="0" w:beforeLines="0" w:after="0" w:afterLines="0"/>
              <w:ind w:firstLine="0" w:firstLineChars="0"/>
              <w:jc w:val="center"/>
              <w:rPr>
                <w:rFonts w:cs="Times New Roman"/>
                <w:kern w:val="0"/>
                <w:sz w:val="20"/>
              </w:rPr>
            </w:pPr>
          </w:p>
        </w:tc>
        <w:tc>
          <w:tcPr>
            <w:tcW w:w="2820" w:type="dxa"/>
            <w:vAlign w:val="center"/>
          </w:tcPr>
          <w:p w14:paraId="1B666DF8">
            <w:pPr>
              <w:pStyle w:val="44"/>
              <w:spacing w:before="0" w:beforeLines="0" w:after="0" w:afterLines="0"/>
              <w:ind w:firstLine="0" w:firstLineChars="0"/>
              <w:jc w:val="center"/>
              <w:rPr>
                <w:rFonts w:cs="Times New Roman"/>
                <w:kern w:val="0"/>
                <w:sz w:val="20"/>
              </w:rPr>
            </w:pPr>
            <w:r>
              <w:rPr>
                <w:rFonts w:hint="eastAsia" w:cs="Times New Roman"/>
                <w:kern w:val="0"/>
                <w:sz w:val="20"/>
              </w:rPr>
              <w:t>密封</w:t>
            </w:r>
          </w:p>
        </w:tc>
        <w:tc>
          <w:tcPr>
            <w:tcW w:w="3701" w:type="dxa"/>
            <w:vAlign w:val="center"/>
          </w:tcPr>
          <w:p w14:paraId="5F1CFD99">
            <w:pPr>
              <w:pStyle w:val="44"/>
              <w:spacing w:before="0" w:beforeLines="0" w:after="0" w:afterLines="0"/>
              <w:ind w:firstLine="0" w:firstLineChars="0"/>
              <w:jc w:val="center"/>
              <w:rPr>
                <w:rFonts w:cs="Times New Roman"/>
                <w:kern w:val="0"/>
                <w:sz w:val="20"/>
              </w:rPr>
            </w:pPr>
            <w:r>
              <w:rPr>
                <w:rFonts w:hint="eastAsia" w:cs="Times New Roman"/>
                <w:kern w:val="0"/>
                <w:sz w:val="20"/>
              </w:rPr>
              <w:t>密封失效</w:t>
            </w:r>
          </w:p>
        </w:tc>
      </w:tr>
      <w:tr w14:paraId="2505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12F2DA01">
            <w:pPr>
              <w:pStyle w:val="44"/>
              <w:spacing w:before="0" w:beforeLines="0" w:after="0" w:afterLines="0"/>
              <w:ind w:firstLine="0" w:firstLineChars="0"/>
              <w:jc w:val="center"/>
              <w:rPr>
                <w:rFonts w:cs="Times New Roman"/>
                <w:kern w:val="0"/>
                <w:sz w:val="20"/>
              </w:rPr>
            </w:pPr>
          </w:p>
        </w:tc>
        <w:tc>
          <w:tcPr>
            <w:tcW w:w="2820" w:type="dxa"/>
            <w:vAlign w:val="center"/>
          </w:tcPr>
          <w:p w14:paraId="6725F62D">
            <w:pPr>
              <w:pStyle w:val="44"/>
              <w:spacing w:before="0" w:beforeLines="0" w:after="0" w:afterLines="0"/>
              <w:ind w:firstLine="0" w:firstLineChars="0"/>
              <w:jc w:val="center"/>
              <w:rPr>
                <w:rFonts w:cs="Times New Roman"/>
                <w:kern w:val="0"/>
                <w:sz w:val="20"/>
              </w:rPr>
            </w:pPr>
            <w:r>
              <w:rPr>
                <w:rFonts w:hint="eastAsia" w:cs="Times New Roman"/>
                <w:kern w:val="0"/>
                <w:sz w:val="20"/>
              </w:rPr>
              <w:t>绝缘</w:t>
            </w:r>
          </w:p>
        </w:tc>
        <w:tc>
          <w:tcPr>
            <w:tcW w:w="3701" w:type="dxa"/>
            <w:vAlign w:val="center"/>
          </w:tcPr>
          <w:p w14:paraId="20783008">
            <w:pPr>
              <w:pStyle w:val="44"/>
              <w:spacing w:before="0" w:beforeLines="0" w:after="0" w:afterLines="0"/>
              <w:ind w:firstLine="0" w:firstLineChars="0"/>
              <w:jc w:val="center"/>
              <w:rPr>
                <w:rFonts w:cs="Times New Roman"/>
                <w:kern w:val="0"/>
                <w:sz w:val="20"/>
              </w:rPr>
            </w:pPr>
            <w:r>
              <w:rPr>
                <w:rFonts w:hint="eastAsia" w:cs="Times New Roman"/>
                <w:kern w:val="0"/>
                <w:sz w:val="20"/>
              </w:rPr>
              <w:t>绝缘失效</w:t>
            </w:r>
          </w:p>
        </w:tc>
      </w:tr>
      <w:tr w14:paraId="1CF6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5535BC6C">
            <w:pPr>
              <w:pStyle w:val="44"/>
              <w:spacing w:before="0" w:beforeLines="0" w:after="0" w:afterLines="0"/>
              <w:ind w:firstLine="0" w:firstLineChars="0"/>
              <w:jc w:val="center"/>
              <w:rPr>
                <w:rFonts w:cs="Times New Roman"/>
                <w:kern w:val="0"/>
                <w:sz w:val="20"/>
              </w:rPr>
            </w:pPr>
          </w:p>
        </w:tc>
        <w:tc>
          <w:tcPr>
            <w:tcW w:w="2820" w:type="dxa"/>
            <w:vAlign w:val="center"/>
          </w:tcPr>
          <w:p w14:paraId="4B42C020">
            <w:pPr>
              <w:pStyle w:val="44"/>
              <w:spacing w:before="0" w:beforeLines="0" w:after="0" w:afterLines="0"/>
              <w:ind w:firstLine="0" w:firstLineChars="0"/>
              <w:jc w:val="center"/>
              <w:rPr>
                <w:rFonts w:cs="Times New Roman"/>
                <w:kern w:val="0"/>
                <w:sz w:val="20"/>
              </w:rPr>
            </w:pPr>
            <w:r>
              <w:rPr>
                <w:rFonts w:hint="eastAsia" w:cs="Times New Roman"/>
                <w:kern w:val="0"/>
                <w:sz w:val="20"/>
              </w:rPr>
              <w:t>管路连接</w:t>
            </w:r>
          </w:p>
        </w:tc>
        <w:tc>
          <w:tcPr>
            <w:tcW w:w="3701" w:type="dxa"/>
            <w:vAlign w:val="center"/>
          </w:tcPr>
          <w:p w14:paraId="68045430">
            <w:pPr>
              <w:pStyle w:val="44"/>
              <w:spacing w:before="0" w:beforeLines="0" w:after="0" w:afterLines="0"/>
              <w:ind w:firstLine="0" w:firstLineChars="0"/>
              <w:jc w:val="center"/>
              <w:rPr>
                <w:rFonts w:cs="Times New Roman"/>
                <w:kern w:val="0"/>
                <w:sz w:val="20"/>
              </w:rPr>
            </w:pPr>
            <w:r>
              <w:rPr>
                <w:rFonts w:hint="eastAsia" w:cs="Times New Roman"/>
                <w:kern w:val="0"/>
                <w:sz w:val="20"/>
              </w:rPr>
              <w:t>松动、腐蚀</w:t>
            </w:r>
          </w:p>
        </w:tc>
      </w:tr>
      <w:tr w14:paraId="71A8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76D26D0B">
            <w:pPr>
              <w:pStyle w:val="44"/>
              <w:spacing w:before="0" w:beforeLines="0" w:after="0" w:afterLines="0"/>
              <w:ind w:firstLine="0" w:firstLineChars="0"/>
              <w:jc w:val="center"/>
              <w:rPr>
                <w:rFonts w:cs="Times New Roman"/>
                <w:kern w:val="0"/>
                <w:sz w:val="20"/>
              </w:rPr>
            </w:pPr>
          </w:p>
        </w:tc>
        <w:tc>
          <w:tcPr>
            <w:tcW w:w="2820" w:type="dxa"/>
            <w:vAlign w:val="center"/>
          </w:tcPr>
          <w:p w14:paraId="388F0A8E">
            <w:pPr>
              <w:pStyle w:val="44"/>
              <w:spacing w:before="0" w:beforeLines="0" w:after="0" w:afterLines="0"/>
              <w:ind w:firstLine="0" w:firstLineChars="0"/>
              <w:jc w:val="center"/>
              <w:rPr>
                <w:rFonts w:cs="Times New Roman"/>
                <w:kern w:val="0"/>
                <w:sz w:val="20"/>
              </w:rPr>
            </w:pPr>
            <w:r>
              <w:rPr>
                <w:rFonts w:hint="eastAsia" w:cs="Times New Roman"/>
                <w:kern w:val="0"/>
                <w:sz w:val="20"/>
              </w:rPr>
              <w:t>接地</w:t>
            </w:r>
          </w:p>
        </w:tc>
        <w:tc>
          <w:tcPr>
            <w:tcW w:w="3701" w:type="dxa"/>
            <w:vAlign w:val="center"/>
          </w:tcPr>
          <w:p w14:paraId="36C198CA">
            <w:pPr>
              <w:pStyle w:val="44"/>
              <w:spacing w:before="0" w:beforeLines="0" w:after="0" w:afterLines="0"/>
              <w:ind w:firstLine="0" w:firstLineChars="0"/>
              <w:jc w:val="center"/>
              <w:rPr>
                <w:rFonts w:cs="Times New Roman"/>
                <w:kern w:val="0"/>
                <w:sz w:val="20"/>
              </w:rPr>
            </w:pPr>
            <w:r>
              <w:rPr>
                <w:rFonts w:hint="eastAsia" w:cs="Times New Roman"/>
                <w:kern w:val="0"/>
                <w:sz w:val="20"/>
              </w:rPr>
              <w:t>接地失效</w:t>
            </w:r>
          </w:p>
        </w:tc>
      </w:tr>
      <w:tr w14:paraId="7B29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4FAECB44">
            <w:pPr>
              <w:pStyle w:val="44"/>
              <w:spacing w:before="0" w:beforeLines="0" w:after="0" w:afterLines="0"/>
              <w:ind w:firstLine="0" w:firstLineChars="0"/>
              <w:jc w:val="center"/>
              <w:rPr>
                <w:rFonts w:cs="Times New Roman"/>
                <w:kern w:val="0"/>
                <w:sz w:val="20"/>
              </w:rPr>
            </w:pPr>
          </w:p>
        </w:tc>
        <w:tc>
          <w:tcPr>
            <w:tcW w:w="2820" w:type="dxa"/>
            <w:vAlign w:val="center"/>
          </w:tcPr>
          <w:p w14:paraId="2EF99F08">
            <w:pPr>
              <w:pStyle w:val="44"/>
              <w:spacing w:before="0" w:beforeLines="0" w:after="0" w:afterLines="0"/>
              <w:ind w:firstLine="0" w:firstLineChars="0"/>
              <w:jc w:val="center"/>
              <w:rPr>
                <w:rFonts w:cs="Times New Roman"/>
                <w:kern w:val="0"/>
                <w:sz w:val="20"/>
              </w:rPr>
            </w:pPr>
            <w:r>
              <w:rPr>
                <w:rFonts w:hint="eastAsia" w:cs="Times New Roman"/>
                <w:kern w:val="0"/>
                <w:sz w:val="20"/>
              </w:rPr>
              <w:t>动环监控预警系统、辅控系统、电池管理系统</w:t>
            </w:r>
          </w:p>
        </w:tc>
        <w:tc>
          <w:tcPr>
            <w:tcW w:w="3701" w:type="dxa"/>
            <w:vAlign w:val="center"/>
          </w:tcPr>
          <w:p w14:paraId="5226167C">
            <w:pPr>
              <w:pStyle w:val="44"/>
              <w:spacing w:before="0" w:beforeLines="0" w:after="0" w:afterLines="0"/>
              <w:ind w:firstLine="0" w:firstLineChars="0"/>
              <w:jc w:val="center"/>
              <w:rPr>
                <w:rFonts w:cs="Times New Roman"/>
                <w:kern w:val="0"/>
                <w:sz w:val="20"/>
              </w:rPr>
            </w:pPr>
            <w:r>
              <w:rPr>
                <w:rFonts w:hint="eastAsia" w:cs="Times New Roman"/>
                <w:kern w:val="0"/>
                <w:sz w:val="20"/>
              </w:rPr>
              <w:t>系统故障、控制动作异常</w:t>
            </w:r>
          </w:p>
        </w:tc>
      </w:tr>
      <w:tr w14:paraId="049F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47A19B47">
            <w:pPr>
              <w:pStyle w:val="44"/>
              <w:spacing w:before="0" w:beforeLines="0" w:after="0" w:afterLines="0"/>
              <w:ind w:firstLine="0" w:firstLineChars="0"/>
              <w:jc w:val="center"/>
              <w:rPr>
                <w:rFonts w:cs="Times New Roman"/>
                <w:kern w:val="0"/>
                <w:sz w:val="20"/>
              </w:rPr>
            </w:pPr>
          </w:p>
        </w:tc>
        <w:tc>
          <w:tcPr>
            <w:tcW w:w="2820" w:type="dxa"/>
            <w:vAlign w:val="center"/>
          </w:tcPr>
          <w:p w14:paraId="7BBF397F">
            <w:pPr>
              <w:pStyle w:val="44"/>
              <w:spacing w:before="0" w:beforeLines="0" w:after="0" w:afterLines="0"/>
              <w:ind w:firstLine="0" w:firstLineChars="0"/>
              <w:jc w:val="center"/>
              <w:rPr>
                <w:rFonts w:cs="Times New Roman"/>
                <w:kern w:val="0"/>
                <w:sz w:val="20"/>
              </w:rPr>
            </w:pPr>
            <w:r>
              <w:rPr>
                <w:rFonts w:hint="eastAsia" w:cs="Times New Roman"/>
                <w:kern w:val="0"/>
                <w:sz w:val="20"/>
              </w:rPr>
              <w:t>输出功率</w:t>
            </w:r>
          </w:p>
        </w:tc>
        <w:tc>
          <w:tcPr>
            <w:tcW w:w="3701" w:type="dxa"/>
            <w:vAlign w:val="center"/>
          </w:tcPr>
          <w:p w14:paraId="4137689D">
            <w:pPr>
              <w:pStyle w:val="44"/>
              <w:spacing w:before="0" w:beforeLines="0" w:after="0" w:afterLines="0"/>
              <w:ind w:firstLine="0" w:firstLineChars="0"/>
              <w:jc w:val="center"/>
              <w:rPr>
                <w:rFonts w:cs="Times New Roman"/>
                <w:kern w:val="0"/>
                <w:sz w:val="20"/>
              </w:rPr>
            </w:pPr>
            <w:r>
              <w:rPr>
                <w:rFonts w:hint="eastAsia" w:cs="Times New Roman"/>
                <w:kern w:val="0"/>
                <w:sz w:val="20"/>
              </w:rPr>
              <w:t>超出额定最大值1</w:t>
            </w:r>
            <w:r>
              <w:rPr>
                <w:rFonts w:cs="Times New Roman"/>
                <w:kern w:val="0"/>
                <w:sz w:val="20"/>
              </w:rPr>
              <w:t>0%</w:t>
            </w:r>
            <w:r>
              <w:rPr>
                <w:rFonts w:hint="eastAsia" w:cs="Times New Roman"/>
                <w:kern w:val="0"/>
                <w:sz w:val="20"/>
              </w:rPr>
              <w:t>且持续5秒以上</w:t>
            </w:r>
          </w:p>
        </w:tc>
      </w:tr>
      <w:tr w14:paraId="4EF1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0DF0456B">
            <w:pPr>
              <w:pStyle w:val="44"/>
              <w:spacing w:before="0" w:beforeLines="0" w:after="0" w:afterLines="0"/>
              <w:ind w:firstLine="0" w:firstLineChars="0"/>
              <w:jc w:val="center"/>
              <w:rPr>
                <w:rFonts w:cs="Times New Roman"/>
                <w:kern w:val="0"/>
                <w:sz w:val="20"/>
              </w:rPr>
            </w:pPr>
          </w:p>
        </w:tc>
        <w:tc>
          <w:tcPr>
            <w:tcW w:w="2820" w:type="dxa"/>
            <w:vAlign w:val="center"/>
          </w:tcPr>
          <w:p w14:paraId="4D530E96">
            <w:pPr>
              <w:pStyle w:val="44"/>
              <w:spacing w:before="0" w:beforeLines="0" w:after="0" w:afterLines="0"/>
              <w:ind w:firstLine="0" w:firstLineChars="0"/>
              <w:jc w:val="center"/>
              <w:rPr>
                <w:rFonts w:cs="Times New Roman"/>
                <w:kern w:val="0"/>
                <w:sz w:val="20"/>
              </w:rPr>
            </w:pPr>
            <w:r>
              <w:rPr>
                <w:rFonts w:hint="eastAsia" w:cs="Times New Roman"/>
                <w:kern w:val="0"/>
                <w:sz w:val="20"/>
              </w:rPr>
              <w:t>充放电电压、电流</w:t>
            </w:r>
          </w:p>
        </w:tc>
        <w:tc>
          <w:tcPr>
            <w:tcW w:w="3701" w:type="dxa"/>
            <w:vAlign w:val="center"/>
          </w:tcPr>
          <w:p w14:paraId="01D9361B">
            <w:pPr>
              <w:pStyle w:val="44"/>
              <w:spacing w:before="0" w:beforeLines="0" w:after="0" w:afterLines="0"/>
              <w:ind w:firstLine="0" w:firstLineChars="0"/>
              <w:jc w:val="center"/>
              <w:rPr>
                <w:rFonts w:cs="Times New Roman"/>
                <w:kern w:val="0"/>
                <w:sz w:val="20"/>
              </w:rPr>
            </w:pPr>
            <w:r>
              <w:rPr>
                <w:rFonts w:hint="eastAsia" w:cs="Times New Roman"/>
                <w:kern w:val="0"/>
                <w:sz w:val="20"/>
              </w:rPr>
              <w:t>超出额定范围1</w:t>
            </w:r>
            <w:r>
              <w:rPr>
                <w:rFonts w:cs="Times New Roman"/>
                <w:kern w:val="0"/>
                <w:sz w:val="20"/>
              </w:rPr>
              <w:t>0%</w:t>
            </w:r>
            <w:r>
              <w:rPr>
                <w:rFonts w:hint="eastAsia" w:cs="Times New Roman"/>
                <w:kern w:val="0"/>
                <w:sz w:val="20"/>
              </w:rPr>
              <w:t>且持续5秒以上</w:t>
            </w:r>
          </w:p>
        </w:tc>
      </w:tr>
      <w:tr w14:paraId="7A53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2463E217">
            <w:pPr>
              <w:pStyle w:val="44"/>
              <w:spacing w:before="0" w:beforeLines="0" w:after="0" w:afterLines="0"/>
              <w:ind w:firstLine="0" w:firstLineChars="0"/>
              <w:jc w:val="center"/>
              <w:rPr>
                <w:rFonts w:cs="Times New Roman"/>
                <w:kern w:val="0"/>
                <w:sz w:val="20"/>
              </w:rPr>
            </w:pPr>
          </w:p>
        </w:tc>
        <w:tc>
          <w:tcPr>
            <w:tcW w:w="2820" w:type="dxa"/>
            <w:vAlign w:val="center"/>
          </w:tcPr>
          <w:p w14:paraId="0E80803E">
            <w:pPr>
              <w:pStyle w:val="44"/>
              <w:spacing w:before="0" w:beforeLines="0" w:after="0" w:afterLines="0"/>
              <w:ind w:firstLine="0" w:firstLineChars="0"/>
              <w:jc w:val="center"/>
              <w:rPr>
                <w:rFonts w:cs="Times New Roman"/>
                <w:kern w:val="0"/>
                <w:sz w:val="20"/>
              </w:rPr>
            </w:pPr>
            <w:r>
              <w:rPr>
                <w:rFonts w:hint="eastAsia" w:cs="Times New Roman"/>
                <w:kern w:val="0"/>
                <w:sz w:val="20"/>
              </w:rPr>
              <w:t>工作环境中可燃、有害气体</w:t>
            </w:r>
          </w:p>
        </w:tc>
        <w:tc>
          <w:tcPr>
            <w:tcW w:w="3701" w:type="dxa"/>
            <w:vAlign w:val="center"/>
          </w:tcPr>
          <w:p w14:paraId="300EBE73">
            <w:pPr>
              <w:pStyle w:val="44"/>
              <w:spacing w:before="0" w:beforeLines="0" w:after="0" w:afterLines="0"/>
              <w:ind w:firstLine="0" w:firstLineChars="0"/>
              <w:jc w:val="center"/>
              <w:rPr>
                <w:rFonts w:cs="Times New Roman"/>
                <w:kern w:val="0"/>
                <w:sz w:val="20"/>
              </w:rPr>
            </w:pPr>
            <w:r>
              <w:rPr>
                <w:rFonts w:hint="eastAsia" w:cs="Times New Roman"/>
                <w:kern w:val="0"/>
                <w:sz w:val="20"/>
              </w:rPr>
              <w:t>氢气含量参考G</w:t>
            </w:r>
            <w:r>
              <w:rPr>
                <w:rFonts w:cs="Times New Roman"/>
                <w:kern w:val="0"/>
                <w:sz w:val="20"/>
              </w:rPr>
              <w:t>B</w:t>
            </w:r>
            <w:r>
              <w:rPr>
                <w:rFonts w:hint="eastAsia" w:cs="Times New Roman"/>
                <w:kern w:val="0"/>
                <w:sz w:val="20"/>
              </w:rPr>
              <w:t>/</w:t>
            </w:r>
            <w:r>
              <w:rPr>
                <w:rFonts w:cs="Times New Roman"/>
                <w:kern w:val="0"/>
                <w:sz w:val="20"/>
              </w:rPr>
              <w:t>T 24549</w:t>
            </w:r>
            <w:r>
              <w:rPr>
                <w:rFonts w:hint="eastAsia" w:cs="Times New Roman"/>
                <w:kern w:val="0"/>
                <w:sz w:val="20"/>
              </w:rPr>
              <w:t>要求，其他种类气体参考</w:t>
            </w:r>
            <w:r>
              <w:rPr>
                <w:rFonts w:cs="Times New Roman"/>
                <w:kern w:val="0"/>
                <w:sz w:val="20"/>
              </w:rPr>
              <w:t>SY/T 6503-2022</w:t>
            </w:r>
            <w:r>
              <w:rPr>
                <w:rFonts w:hint="eastAsia" w:cs="Times New Roman"/>
                <w:kern w:val="0"/>
                <w:sz w:val="20"/>
              </w:rPr>
              <w:t>要求</w:t>
            </w:r>
          </w:p>
        </w:tc>
      </w:tr>
      <w:tr w14:paraId="25FC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74260281">
            <w:pPr>
              <w:pStyle w:val="44"/>
              <w:spacing w:before="0" w:beforeLines="0" w:after="0" w:afterLines="0"/>
              <w:ind w:firstLine="0" w:firstLineChars="0"/>
              <w:jc w:val="center"/>
              <w:rPr>
                <w:rFonts w:cs="Times New Roman"/>
                <w:kern w:val="0"/>
                <w:sz w:val="20"/>
              </w:rPr>
            </w:pPr>
          </w:p>
        </w:tc>
        <w:tc>
          <w:tcPr>
            <w:tcW w:w="2820" w:type="dxa"/>
            <w:vAlign w:val="center"/>
          </w:tcPr>
          <w:p w14:paraId="1CC0F4E0">
            <w:pPr>
              <w:pStyle w:val="44"/>
              <w:spacing w:before="0" w:beforeLines="0" w:after="0" w:afterLines="0"/>
              <w:ind w:firstLine="0" w:firstLineChars="0"/>
              <w:jc w:val="center"/>
              <w:rPr>
                <w:rFonts w:cs="Times New Roman"/>
                <w:kern w:val="0"/>
                <w:sz w:val="20"/>
              </w:rPr>
            </w:pPr>
            <w:r>
              <w:rPr>
                <w:rFonts w:hint="eastAsia" w:cs="Times New Roman"/>
                <w:kern w:val="0"/>
                <w:sz w:val="20"/>
              </w:rPr>
              <w:t>电池单体与电池簇</w:t>
            </w:r>
          </w:p>
        </w:tc>
        <w:tc>
          <w:tcPr>
            <w:tcW w:w="3701" w:type="dxa"/>
            <w:vAlign w:val="center"/>
          </w:tcPr>
          <w:p w14:paraId="401F319D">
            <w:pPr>
              <w:pStyle w:val="44"/>
              <w:spacing w:before="0" w:beforeLines="0" w:after="0" w:afterLines="0"/>
              <w:ind w:firstLine="0" w:firstLineChars="0"/>
              <w:jc w:val="center"/>
              <w:rPr>
                <w:rFonts w:cs="Times New Roman"/>
                <w:kern w:val="0"/>
                <w:sz w:val="20"/>
              </w:rPr>
            </w:pPr>
            <w:r>
              <w:rPr>
                <w:rFonts w:hint="eastAsia" w:cs="Times New Roman"/>
                <w:kern w:val="0"/>
                <w:sz w:val="20"/>
              </w:rPr>
              <w:t>出现短路、断路；达到衰退、报废条件，参考</w:t>
            </w:r>
            <w:r>
              <w:rPr>
                <w:rFonts w:cs="Times New Roman"/>
                <w:kern w:val="0"/>
                <w:sz w:val="20"/>
              </w:rPr>
              <w:t>GB/T 31484-2015</w:t>
            </w:r>
            <w:r>
              <w:rPr>
                <w:rFonts w:hint="eastAsia" w:cs="Times New Roman"/>
                <w:kern w:val="0"/>
                <w:sz w:val="20"/>
              </w:rPr>
              <w:t>、</w:t>
            </w:r>
            <w:r>
              <w:rPr>
                <w:rFonts w:cs="Times New Roman"/>
                <w:kern w:val="0"/>
                <w:sz w:val="20"/>
              </w:rPr>
              <w:t>GB/T 38914-2020</w:t>
            </w:r>
          </w:p>
        </w:tc>
      </w:tr>
      <w:tr w14:paraId="7C07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4390CC8F">
            <w:pPr>
              <w:pStyle w:val="44"/>
              <w:spacing w:before="0" w:beforeLines="0" w:after="0" w:afterLines="0"/>
              <w:ind w:firstLine="0" w:firstLineChars="0"/>
              <w:jc w:val="center"/>
              <w:rPr>
                <w:rFonts w:cs="Times New Roman"/>
                <w:kern w:val="0"/>
                <w:sz w:val="20"/>
              </w:rPr>
            </w:pPr>
          </w:p>
        </w:tc>
        <w:tc>
          <w:tcPr>
            <w:tcW w:w="2820" w:type="dxa"/>
            <w:vAlign w:val="center"/>
          </w:tcPr>
          <w:p w14:paraId="29345E60">
            <w:pPr>
              <w:pStyle w:val="44"/>
              <w:spacing w:before="0" w:beforeLines="0" w:after="0" w:afterLines="0"/>
              <w:ind w:firstLine="0" w:firstLineChars="0"/>
              <w:jc w:val="center"/>
              <w:rPr>
                <w:rFonts w:cs="Times New Roman"/>
                <w:kern w:val="0"/>
                <w:sz w:val="20"/>
              </w:rPr>
            </w:pPr>
            <w:r>
              <w:rPr>
                <w:rFonts w:hint="eastAsia" w:cs="Times New Roman"/>
                <w:kern w:val="0"/>
                <w:sz w:val="20"/>
              </w:rPr>
              <w:t>工作环境温度、湿度、压力</w:t>
            </w:r>
          </w:p>
        </w:tc>
        <w:tc>
          <w:tcPr>
            <w:tcW w:w="3701" w:type="dxa"/>
            <w:vAlign w:val="center"/>
          </w:tcPr>
          <w:p w14:paraId="797870E7">
            <w:pPr>
              <w:pStyle w:val="44"/>
              <w:spacing w:before="0" w:beforeLines="0" w:after="0" w:afterLines="0"/>
              <w:ind w:firstLine="0" w:firstLineChars="0"/>
              <w:jc w:val="center"/>
              <w:rPr>
                <w:rFonts w:cs="Times New Roman"/>
                <w:kern w:val="0"/>
                <w:sz w:val="20"/>
              </w:rPr>
            </w:pPr>
            <w:r>
              <w:rPr>
                <w:rFonts w:hint="eastAsia" w:cs="Times New Roman"/>
                <w:kern w:val="0"/>
                <w:sz w:val="20"/>
              </w:rPr>
              <w:t>超过正常工作范围，参考G</w:t>
            </w:r>
            <w:r>
              <w:rPr>
                <w:rFonts w:cs="Times New Roman"/>
                <w:kern w:val="0"/>
                <w:sz w:val="20"/>
              </w:rPr>
              <w:t>B 51048</w:t>
            </w:r>
          </w:p>
        </w:tc>
      </w:tr>
      <w:tr w14:paraId="0893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restart"/>
            <w:vAlign w:val="center"/>
          </w:tcPr>
          <w:p w14:paraId="7F814C79">
            <w:pPr>
              <w:pStyle w:val="44"/>
              <w:spacing w:before="0" w:beforeLines="0" w:after="0" w:afterLines="0"/>
              <w:ind w:firstLine="0" w:firstLineChars="0"/>
              <w:jc w:val="center"/>
              <w:rPr>
                <w:rFonts w:cs="Times New Roman"/>
                <w:kern w:val="0"/>
                <w:sz w:val="20"/>
              </w:rPr>
            </w:pPr>
            <w:r>
              <w:rPr>
                <w:rFonts w:hint="eastAsia" w:cs="Times New Roman"/>
                <w:kern w:val="0"/>
                <w:sz w:val="20"/>
              </w:rPr>
              <w:t>锂离子电池</w:t>
            </w:r>
          </w:p>
        </w:tc>
        <w:tc>
          <w:tcPr>
            <w:tcW w:w="2820" w:type="dxa"/>
            <w:vAlign w:val="center"/>
          </w:tcPr>
          <w:p w14:paraId="37EA103B">
            <w:pPr>
              <w:pStyle w:val="44"/>
              <w:spacing w:before="0" w:beforeLines="0" w:after="0" w:afterLines="0"/>
              <w:ind w:firstLine="0" w:firstLineChars="0"/>
              <w:jc w:val="center"/>
              <w:rPr>
                <w:rFonts w:cs="Times New Roman"/>
                <w:kern w:val="0"/>
                <w:sz w:val="20"/>
              </w:rPr>
            </w:pPr>
            <w:r>
              <w:rPr>
                <w:rFonts w:hint="eastAsia" w:cs="Times New Roman"/>
                <w:kern w:val="0"/>
                <w:sz w:val="20"/>
              </w:rPr>
              <w:t>充放电电流、电压、温度</w:t>
            </w:r>
          </w:p>
        </w:tc>
        <w:tc>
          <w:tcPr>
            <w:tcW w:w="3701" w:type="dxa"/>
            <w:vAlign w:val="center"/>
          </w:tcPr>
          <w:p w14:paraId="6E34EE4F">
            <w:pPr>
              <w:pStyle w:val="44"/>
              <w:spacing w:before="0" w:beforeLines="0" w:after="0" w:afterLines="0"/>
              <w:ind w:firstLine="0" w:firstLineChars="0"/>
              <w:jc w:val="center"/>
              <w:rPr>
                <w:rFonts w:cs="Times New Roman"/>
                <w:kern w:val="0"/>
                <w:sz w:val="20"/>
              </w:rPr>
            </w:pPr>
            <w:r>
              <w:rPr>
                <w:rFonts w:hint="eastAsia" w:cs="Times New Roman"/>
                <w:kern w:val="0"/>
                <w:sz w:val="20"/>
              </w:rPr>
              <w:t>参考</w:t>
            </w:r>
            <w:r>
              <w:rPr>
                <w:kern w:val="0"/>
                <w:sz w:val="20"/>
              </w:rPr>
              <w:t>GB 40165-2021</w:t>
            </w:r>
          </w:p>
        </w:tc>
      </w:tr>
      <w:tr w14:paraId="68BD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64813C16">
            <w:pPr>
              <w:pStyle w:val="44"/>
              <w:spacing w:before="0" w:beforeLines="0" w:after="0" w:afterLines="0"/>
              <w:ind w:firstLine="0" w:firstLineChars="0"/>
              <w:jc w:val="center"/>
              <w:rPr>
                <w:rFonts w:cs="Times New Roman"/>
                <w:kern w:val="0"/>
                <w:sz w:val="20"/>
              </w:rPr>
            </w:pPr>
          </w:p>
        </w:tc>
        <w:tc>
          <w:tcPr>
            <w:tcW w:w="2820" w:type="dxa"/>
            <w:vAlign w:val="center"/>
          </w:tcPr>
          <w:p w14:paraId="54B6BDE7">
            <w:pPr>
              <w:pStyle w:val="44"/>
              <w:spacing w:before="0" w:beforeLines="0" w:after="0" w:afterLines="0"/>
              <w:ind w:firstLine="0" w:firstLineChars="0"/>
              <w:jc w:val="center"/>
              <w:rPr>
                <w:rFonts w:cs="Times New Roman"/>
                <w:kern w:val="0"/>
                <w:sz w:val="20"/>
              </w:rPr>
            </w:pPr>
            <w:r>
              <w:rPr>
                <w:rFonts w:hint="eastAsia" w:cs="Times New Roman"/>
                <w:kern w:val="0"/>
                <w:sz w:val="20"/>
              </w:rPr>
              <w:t>工作环境</w:t>
            </w:r>
          </w:p>
        </w:tc>
        <w:tc>
          <w:tcPr>
            <w:tcW w:w="3701" w:type="dxa"/>
            <w:vAlign w:val="center"/>
          </w:tcPr>
          <w:p w14:paraId="5A9CB4C1">
            <w:pPr>
              <w:pStyle w:val="44"/>
              <w:spacing w:before="0" w:beforeLines="0" w:after="0" w:afterLines="0"/>
              <w:ind w:firstLine="0" w:firstLineChars="0"/>
              <w:jc w:val="center"/>
              <w:rPr>
                <w:rFonts w:cs="Times New Roman"/>
                <w:kern w:val="0"/>
                <w:sz w:val="20"/>
              </w:rPr>
            </w:pPr>
            <w:r>
              <w:rPr>
                <w:rFonts w:hint="eastAsia"/>
                <w:kern w:val="0"/>
                <w:sz w:val="20"/>
              </w:rPr>
              <w:t>存在异物挤压、振动、跌落风险等</w:t>
            </w:r>
          </w:p>
        </w:tc>
      </w:tr>
      <w:tr w14:paraId="51D9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shd w:val="clear" w:color="auto" w:fill="auto"/>
            <w:vAlign w:val="center"/>
          </w:tcPr>
          <w:p w14:paraId="491ACBDE">
            <w:pPr>
              <w:pStyle w:val="44"/>
              <w:spacing w:before="0" w:beforeLines="0" w:after="0" w:afterLines="0"/>
              <w:ind w:firstLine="0" w:firstLineChars="0"/>
              <w:jc w:val="center"/>
              <w:rPr>
                <w:rFonts w:cs="Times New Roman"/>
                <w:kern w:val="0"/>
                <w:sz w:val="20"/>
              </w:rPr>
            </w:pPr>
            <w:r>
              <w:rPr>
                <w:rFonts w:hint="eastAsia" w:cs="Times New Roman"/>
                <w:kern w:val="0"/>
                <w:sz w:val="20"/>
              </w:rPr>
              <w:t>钠离子电池</w:t>
            </w:r>
          </w:p>
        </w:tc>
        <w:tc>
          <w:tcPr>
            <w:tcW w:w="2820" w:type="dxa"/>
            <w:shd w:val="clear" w:color="auto" w:fill="auto"/>
            <w:vAlign w:val="center"/>
          </w:tcPr>
          <w:p w14:paraId="0A8341F8">
            <w:pPr>
              <w:pStyle w:val="44"/>
              <w:spacing w:before="0" w:beforeLines="0" w:after="0" w:afterLines="0"/>
              <w:ind w:firstLine="0" w:firstLineChars="0"/>
              <w:jc w:val="center"/>
              <w:rPr>
                <w:rFonts w:cs="Times New Roman"/>
                <w:kern w:val="0"/>
                <w:sz w:val="20"/>
              </w:rPr>
            </w:pPr>
            <w:r>
              <w:rPr>
                <w:rFonts w:hint="eastAsia" w:cs="Times New Roman"/>
                <w:kern w:val="0"/>
                <w:sz w:val="20"/>
              </w:rPr>
              <w:t>机械结构</w:t>
            </w:r>
          </w:p>
        </w:tc>
        <w:tc>
          <w:tcPr>
            <w:tcW w:w="3701" w:type="dxa"/>
            <w:shd w:val="clear" w:color="auto" w:fill="auto"/>
            <w:vAlign w:val="center"/>
          </w:tcPr>
          <w:p w14:paraId="146CE9E1">
            <w:pPr>
              <w:pStyle w:val="44"/>
              <w:spacing w:before="0" w:beforeLines="0" w:after="0" w:afterLines="0"/>
              <w:ind w:firstLine="0" w:firstLineChars="0"/>
              <w:jc w:val="center"/>
              <w:rPr>
                <w:kern w:val="0"/>
                <w:sz w:val="20"/>
              </w:rPr>
            </w:pPr>
            <w:r>
              <w:rPr>
                <w:rFonts w:hint="eastAsia"/>
                <w:kern w:val="0"/>
                <w:sz w:val="20"/>
              </w:rPr>
              <w:t>钠离子溶液泄漏或钠金属接触空气</w:t>
            </w:r>
          </w:p>
        </w:tc>
      </w:tr>
      <w:tr w14:paraId="3463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restart"/>
            <w:vAlign w:val="center"/>
          </w:tcPr>
          <w:p w14:paraId="696DBB22">
            <w:pPr>
              <w:pStyle w:val="44"/>
              <w:spacing w:before="0" w:beforeLines="0" w:after="0" w:afterLines="0"/>
              <w:ind w:firstLine="0" w:firstLineChars="0"/>
              <w:jc w:val="center"/>
              <w:rPr>
                <w:rFonts w:cs="Times New Roman"/>
                <w:kern w:val="0"/>
                <w:sz w:val="20"/>
              </w:rPr>
            </w:pPr>
            <w:r>
              <w:rPr>
                <w:rFonts w:hint="eastAsia" w:cs="Times New Roman"/>
                <w:kern w:val="0"/>
                <w:sz w:val="20"/>
              </w:rPr>
              <w:t>铅炭/铅酸电池</w:t>
            </w:r>
          </w:p>
        </w:tc>
        <w:tc>
          <w:tcPr>
            <w:tcW w:w="2820" w:type="dxa"/>
            <w:vAlign w:val="center"/>
          </w:tcPr>
          <w:p w14:paraId="425F041E">
            <w:pPr>
              <w:pStyle w:val="44"/>
              <w:spacing w:before="0" w:beforeLines="0" w:after="0" w:afterLines="0"/>
              <w:ind w:firstLine="0" w:firstLineChars="0"/>
              <w:jc w:val="center"/>
              <w:rPr>
                <w:rFonts w:cs="Times New Roman"/>
                <w:kern w:val="0"/>
                <w:sz w:val="20"/>
              </w:rPr>
            </w:pPr>
            <w:r>
              <w:rPr>
                <w:rFonts w:hint="eastAsia" w:cs="Times New Roman"/>
                <w:kern w:val="0"/>
                <w:sz w:val="20"/>
              </w:rPr>
              <w:t>酸性溶液</w:t>
            </w:r>
          </w:p>
        </w:tc>
        <w:tc>
          <w:tcPr>
            <w:tcW w:w="3701" w:type="dxa"/>
            <w:vAlign w:val="center"/>
          </w:tcPr>
          <w:p w14:paraId="4BCEA457">
            <w:pPr>
              <w:pStyle w:val="44"/>
              <w:spacing w:before="0" w:beforeLines="0" w:after="0" w:afterLines="0"/>
              <w:ind w:firstLine="0" w:firstLineChars="0"/>
              <w:jc w:val="center"/>
              <w:rPr>
                <w:kern w:val="0"/>
                <w:sz w:val="20"/>
              </w:rPr>
            </w:pPr>
            <w:r>
              <w:rPr>
                <w:rFonts w:hint="eastAsia"/>
                <w:kern w:val="0"/>
                <w:sz w:val="20"/>
              </w:rPr>
              <w:t>溶液泄漏</w:t>
            </w:r>
          </w:p>
        </w:tc>
      </w:tr>
      <w:tr w14:paraId="5A71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9" w:type="dxa"/>
            <w:vMerge w:val="continue"/>
            <w:vAlign w:val="center"/>
          </w:tcPr>
          <w:p w14:paraId="68BCB794">
            <w:pPr>
              <w:pStyle w:val="44"/>
              <w:spacing w:before="0" w:beforeLines="0" w:after="0" w:afterLines="0"/>
              <w:ind w:firstLine="0" w:firstLineChars="0"/>
              <w:jc w:val="center"/>
              <w:rPr>
                <w:rFonts w:cs="Times New Roman"/>
                <w:kern w:val="0"/>
                <w:sz w:val="20"/>
              </w:rPr>
            </w:pPr>
          </w:p>
        </w:tc>
        <w:tc>
          <w:tcPr>
            <w:tcW w:w="2820" w:type="dxa"/>
            <w:vAlign w:val="center"/>
          </w:tcPr>
          <w:p w14:paraId="29F9E5CE">
            <w:pPr>
              <w:pStyle w:val="44"/>
              <w:spacing w:before="0" w:beforeLines="0" w:after="0" w:afterLines="0"/>
              <w:ind w:firstLine="0" w:firstLineChars="0"/>
              <w:jc w:val="center"/>
              <w:rPr>
                <w:rFonts w:cs="Times New Roman"/>
                <w:kern w:val="0"/>
                <w:sz w:val="20"/>
              </w:rPr>
            </w:pPr>
            <w:r>
              <w:rPr>
                <w:rFonts w:hint="eastAsia" w:cs="Times New Roman"/>
                <w:kern w:val="0"/>
                <w:sz w:val="20"/>
              </w:rPr>
              <w:t>充放电过程产物</w:t>
            </w:r>
          </w:p>
        </w:tc>
        <w:tc>
          <w:tcPr>
            <w:tcW w:w="3701" w:type="dxa"/>
            <w:vAlign w:val="center"/>
          </w:tcPr>
          <w:p w14:paraId="09088881">
            <w:pPr>
              <w:pStyle w:val="44"/>
              <w:spacing w:before="0" w:beforeLines="0" w:after="0" w:afterLines="0"/>
              <w:ind w:firstLine="0" w:firstLineChars="0"/>
              <w:jc w:val="center"/>
              <w:rPr>
                <w:kern w:val="0"/>
                <w:sz w:val="20"/>
              </w:rPr>
            </w:pPr>
            <w:r>
              <w:rPr>
                <w:rFonts w:hint="eastAsia"/>
                <w:kern w:val="0"/>
                <w:sz w:val="20"/>
              </w:rPr>
              <w:t>产生氢气并聚集，达到危险浓度阈值，参考G</w:t>
            </w:r>
            <w:r>
              <w:rPr>
                <w:kern w:val="0"/>
                <w:sz w:val="20"/>
              </w:rPr>
              <w:t>B/T 24549</w:t>
            </w:r>
          </w:p>
        </w:tc>
      </w:tr>
      <w:tr w14:paraId="2F3B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restart"/>
            <w:vAlign w:val="center"/>
          </w:tcPr>
          <w:p w14:paraId="3C9913FD">
            <w:pPr>
              <w:pStyle w:val="44"/>
              <w:spacing w:before="0" w:beforeLines="0" w:after="0" w:afterLines="0"/>
              <w:ind w:firstLine="0" w:firstLineChars="0"/>
              <w:jc w:val="center"/>
              <w:rPr>
                <w:rFonts w:cs="Times New Roman"/>
                <w:kern w:val="0"/>
                <w:sz w:val="20"/>
              </w:rPr>
            </w:pPr>
            <w:r>
              <w:rPr>
                <w:rFonts w:hint="eastAsia" w:cs="Times New Roman"/>
                <w:kern w:val="0"/>
                <w:sz w:val="20"/>
              </w:rPr>
              <w:t>液流电池</w:t>
            </w:r>
          </w:p>
        </w:tc>
        <w:tc>
          <w:tcPr>
            <w:tcW w:w="2820" w:type="dxa"/>
            <w:vAlign w:val="center"/>
          </w:tcPr>
          <w:p w14:paraId="05B3FD96">
            <w:pPr>
              <w:pStyle w:val="44"/>
              <w:spacing w:before="0" w:beforeLines="0" w:after="0" w:afterLines="0"/>
              <w:ind w:firstLine="0" w:firstLineChars="0"/>
              <w:jc w:val="center"/>
              <w:rPr>
                <w:rFonts w:cs="Times New Roman"/>
                <w:kern w:val="0"/>
                <w:sz w:val="20"/>
              </w:rPr>
            </w:pPr>
            <w:r>
              <w:rPr>
                <w:rFonts w:hint="eastAsia" w:cs="Times New Roman"/>
                <w:kern w:val="0"/>
                <w:sz w:val="20"/>
              </w:rPr>
              <w:t>电解液收集系统</w:t>
            </w:r>
          </w:p>
        </w:tc>
        <w:tc>
          <w:tcPr>
            <w:tcW w:w="3701" w:type="dxa"/>
            <w:vAlign w:val="center"/>
          </w:tcPr>
          <w:p w14:paraId="3CADF06F">
            <w:pPr>
              <w:pStyle w:val="44"/>
              <w:spacing w:before="0" w:beforeLines="0" w:after="0" w:afterLines="0"/>
              <w:ind w:firstLine="0" w:firstLineChars="0"/>
              <w:jc w:val="center"/>
              <w:rPr>
                <w:kern w:val="0"/>
                <w:sz w:val="20"/>
              </w:rPr>
            </w:pPr>
            <w:r>
              <w:rPr>
                <w:rFonts w:hint="eastAsia"/>
                <w:kern w:val="0"/>
                <w:sz w:val="20"/>
              </w:rPr>
              <w:t>收集异常，发生漏液</w:t>
            </w:r>
          </w:p>
        </w:tc>
      </w:tr>
      <w:tr w14:paraId="5016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9" w:type="dxa"/>
            <w:vMerge w:val="continue"/>
            <w:vAlign w:val="center"/>
          </w:tcPr>
          <w:p w14:paraId="2644CEB2">
            <w:pPr>
              <w:pStyle w:val="44"/>
              <w:spacing w:before="0" w:beforeLines="0" w:after="0" w:afterLines="0"/>
              <w:ind w:firstLine="0" w:firstLineChars="0"/>
              <w:jc w:val="center"/>
              <w:rPr>
                <w:rFonts w:cs="Times New Roman"/>
                <w:kern w:val="0"/>
                <w:sz w:val="20"/>
              </w:rPr>
            </w:pPr>
          </w:p>
        </w:tc>
        <w:tc>
          <w:tcPr>
            <w:tcW w:w="2820" w:type="dxa"/>
            <w:vAlign w:val="center"/>
          </w:tcPr>
          <w:p w14:paraId="0C711E75">
            <w:pPr>
              <w:pStyle w:val="44"/>
              <w:spacing w:before="0" w:beforeLines="0" w:after="0" w:afterLines="0"/>
              <w:ind w:firstLine="0" w:firstLineChars="0"/>
              <w:jc w:val="center"/>
              <w:rPr>
                <w:rFonts w:cs="Times New Roman"/>
                <w:kern w:val="0"/>
                <w:sz w:val="20"/>
              </w:rPr>
            </w:pPr>
            <w:r>
              <w:rPr>
                <w:rFonts w:hint="eastAsia" w:cs="Times New Roman"/>
                <w:kern w:val="0"/>
                <w:sz w:val="20"/>
              </w:rPr>
              <w:t>气、液泄漏检测系统</w:t>
            </w:r>
          </w:p>
        </w:tc>
        <w:tc>
          <w:tcPr>
            <w:tcW w:w="3701" w:type="dxa"/>
            <w:vAlign w:val="center"/>
          </w:tcPr>
          <w:p w14:paraId="694650B1">
            <w:pPr>
              <w:pStyle w:val="44"/>
              <w:spacing w:before="0" w:beforeLines="0" w:after="0" w:afterLines="0"/>
              <w:ind w:firstLine="0" w:firstLineChars="0"/>
              <w:jc w:val="center"/>
              <w:rPr>
                <w:kern w:val="0"/>
                <w:sz w:val="20"/>
              </w:rPr>
            </w:pPr>
            <w:r>
              <w:rPr>
                <w:rFonts w:hint="eastAsia"/>
                <w:kern w:val="0"/>
                <w:sz w:val="20"/>
              </w:rPr>
              <w:t>检测失效</w:t>
            </w:r>
          </w:p>
        </w:tc>
      </w:tr>
      <w:tr w14:paraId="5E14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restart"/>
            <w:vAlign w:val="center"/>
          </w:tcPr>
          <w:p w14:paraId="538B172A">
            <w:pPr>
              <w:pStyle w:val="44"/>
              <w:spacing w:before="0" w:beforeLines="0" w:after="0" w:afterLines="0"/>
              <w:ind w:firstLine="0" w:firstLineChars="0"/>
              <w:jc w:val="center"/>
              <w:rPr>
                <w:rFonts w:cs="Times New Roman"/>
                <w:kern w:val="0"/>
                <w:sz w:val="20"/>
              </w:rPr>
            </w:pPr>
            <w:r>
              <w:rPr>
                <w:rFonts w:hint="eastAsia" w:cs="Times New Roman"/>
                <w:kern w:val="0"/>
                <w:sz w:val="20"/>
              </w:rPr>
              <w:t>氢燃料电池</w:t>
            </w:r>
          </w:p>
        </w:tc>
        <w:tc>
          <w:tcPr>
            <w:tcW w:w="2820" w:type="dxa"/>
            <w:vAlign w:val="center"/>
          </w:tcPr>
          <w:p w14:paraId="4871C2E2">
            <w:pPr>
              <w:pStyle w:val="44"/>
              <w:spacing w:before="0" w:beforeLines="0" w:after="0" w:afterLines="0"/>
              <w:ind w:firstLine="0" w:firstLineChars="0"/>
              <w:jc w:val="center"/>
              <w:rPr>
                <w:rFonts w:cs="Times New Roman"/>
                <w:kern w:val="0"/>
                <w:sz w:val="20"/>
              </w:rPr>
            </w:pPr>
            <w:r>
              <w:rPr>
                <w:rFonts w:hint="eastAsia" w:cs="Times New Roman"/>
                <w:kern w:val="0"/>
                <w:sz w:val="20"/>
              </w:rPr>
              <w:t>储氢罐及输送管路</w:t>
            </w:r>
          </w:p>
        </w:tc>
        <w:tc>
          <w:tcPr>
            <w:tcW w:w="3701" w:type="dxa"/>
            <w:vAlign w:val="center"/>
          </w:tcPr>
          <w:p w14:paraId="1A99646A">
            <w:pPr>
              <w:pStyle w:val="44"/>
              <w:spacing w:before="0" w:beforeLines="0" w:after="0" w:afterLines="0"/>
              <w:ind w:firstLine="0" w:firstLineChars="0"/>
              <w:jc w:val="center"/>
              <w:rPr>
                <w:kern w:val="0"/>
                <w:sz w:val="20"/>
              </w:rPr>
            </w:pPr>
            <w:r>
              <w:rPr>
                <w:rFonts w:hint="eastAsia"/>
                <w:kern w:val="0"/>
                <w:sz w:val="20"/>
              </w:rPr>
              <w:t>机械结构损伤，发生泄漏</w:t>
            </w:r>
          </w:p>
        </w:tc>
      </w:tr>
      <w:tr w14:paraId="482E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Merge w:val="continue"/>
            <w:vAlign w:val="center"/>
          </w:tcPr>
          <w:p w14:paraId="79A3B42E">
            <w:pPr>
              <w:pStyle w:val="44"/>
              <w:spacing w:before="0" w:beforeLines="0" w:after="0" w:afterLines="0"/>
              <w:ind w:firstLine="0" w:firstLineChars="0"/>
              <w:jc w:val="center"/>
              <w:rPr>
                <w:rFonts w:cs="Times New Roman"/>
                <w:kern w:val="0"/>
                <w:sz w:val="20"/>
              </w:rPr>
            </w:pPr>
          </w:p>
        </w:tc>
        <w:tc>
          <w:tcPr>
            <w:tcW w:w="2820" w:type="dxa"/>
            <w:vAlign w:val="center"/>
          </w:tcPr>
          <w:p w14:paraId="023B1101">
            <w:pPr>
              <w:pStyle w:val="44"/>
              <w:spacing w:before="0" w:beforeLines="0" w:after="0" w:afterLines="0"/>
              <w:ind w:firstLine="0" w:firstLineChars="0"/>
              <w:jc w:val="center"/>
              <w:rPr>
                <w:rFonts w:cs="Times New Roman"/>
                <w:kern w:val="0"/>
                <w:sz w:val="20"/>
              </w:rPr>
            </w:pPr>
            <w:r>
              <w:rPr>
                <w:rFonts w:hint="eastAsia" w:cs="Times New Roman"/>
                <w:kern w:val="0"/>
                <w:sz w:val="20"/>
              </w:rPr>
              <w:t>氧气供给系统、流量控制系统、空气加湿系统、冷却水循环系统</w:t>
            </w:r>
          </w:p>
        </w:tc>
        <w:tc>
          <w:tcPr>
            <w:tcW w:w="3701" w:type="dxa"/>
            <w:vAlign w:val="center"/>
          </w:tcPr>
          <w:p w14:paraId="0D50A651">
            <w:pPr>
              <w:pStyle w:val="44"/>
              <w:spacing w:before="0" w:beforeLines="0" w:after="0" w:afterLines="0"/>
              <w:ind w:firstLine="0" w:firstLineChars="0"/>
              <w:jc w:val="center"/>
              <w:rPr>
                <w:kern w:val="0"/>
                <w:sz w:val="20"/>
              </w:rPr>
            </w:pPr>
            <w:r>
              <w:rPr>
                <w:rFonts w:hint="eastAsia"/>
                <w:kern w:val="0"/>
                <w:sz w:val="20"/>
              </w:rPr>
              <w:t>系统故障</w:t>
            </w:r>
          </w:p>
        </w:tc>
      </w:tr>
      <w:tr w14:paraId="486B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14:paraId="382E3612">
            <w:pPr>
              <w:pStyle w:val="44"/>
              <w:spacing w:before="0" w:beforeLines="0" w:after="0" w:afterLines="0"/>
              <w:ind w:firstLine="0" w:firstLineChars="0"/>
              <w:jc w:val="center"/>
              <w:rPr>
                <w:rFonts w:cs="Times New Roman"/>
                <w:kern w:val="0"/>
                <w:sz w:val="20"/>
              </w:rPr>
            </w:pPr>
            <w:r>
              <w:rPr>
                <w:rFonts w:hint="eastAsia" w:cs="Times New Roman"/>
                <w:kern w:val="0"/>
                <w:sz w:val="20"/>
              </w:rPr>
              <w:t>电解水制氢装置</w:t>
            </w:r>
          </w:p>
        </w:tc>
        <w:tc>
          <w:tcPr>
            <w:tcW w:w="2820" w:type="dxa"/>
            <w:vAlign w:val="center"/>
          </w:tcPr>
          <w:p w14:paraId="5CA4ABBF">
            <w:pPr>
              <w:pStyle w:val="44"/>
              <w:spacing w:before="0" w:beforeLines="0" w:after="0" w:afterLines="0"/>
              <w:ind w:firstLine="0" w:firstLineChars="0"/>
              <w:jc w:val="center"/>
              <w:rPr>
                <w:rFonts w:cs="Times New Roman"/>
                <w:kern w:val="0"/>
                <w:sz w:val="20"/>
              </w:rPr>
            </w:pPr>
            <w:r>
              <w:rPr>
                <w:rFonts w:hint="eastAsia" w:cs="Times New Roman"/>
                <w:kern w:val="0"/>
                <w:sz w:val="20"/>
              </w:rPr>
              <w:t>电解槽、气液处理器、加水泵、水碱箱（主要用于碱性电解槽）、控制柜、整流柜、整流变压器、阻火器</w:t>
            </w:r>
          </w:p>
        </w:tc>
        <w:tc>
          <w:tcPr>
            <w:tcW w:w="3701" w:type="dxa"/>
            <w:vAlign w:val="center"/>
          </w:tcPr>
          <w:p w14:paraId="4CABEF52">
            <w:pPr>
              <w:pStyle w:val="44"/>
              <w:spacing w:before="0" w:beforeLines="0" w:after="0" w:afterLines="0"/>
              <w:ind w:firstLine="0" w:firstLineChars="0"/>
              <w:jc w:val="center"/>
              <w:rPr>
                <w:kern w:val="0"/>
                <w:sz w:val="20"/>
              </w:rPr>
            </w:pPr>
            <w:r>
              <w:rPr>
                <w:rFonts w:hint="eastAsia"/>
                <w:kern w:val="0"/>
                <w:sz w:val="20"/>
              </w:rPr>
              <w:t>系统故障</w:t>
            </w:r>
          </w:p>
        </w:tc>
      </w:tr>
    </w:tbl>
    <w:p w14:paraId="24481232">
      <w:pPr>
        <w:pStyle w:val="66"/>
        <w:numPr>
          <w:ilvl w:val="0"/>
          <w:numId w:val="0"/>
        </w:numPr>
        <w:spacing w:before="156" w:after="156"/>
        <w:rPr>
          <w:rFonts w:cs="Times New Roman"/>
          <w:b w:val="0"/>
          <w:bCs w:val="0"/>
        </w:rPr>
      </w:pPr>
      <w:r>
        <w:rPr>
          <w:rFonts w:cs="Times New Roman"/>
          <w:b w:val="0"/>
          <w:bCs w:val="0"/>
        </w:rPr>
        <w:t xml:space="preserve">5.2.2 </w:t>
      </w:r>
      <w:r>
        <w:rPr>
          <w:rFonts w:hint="eastAsia" w:cs="Times New Roman"/>
          <w:b w:val="0"/>
          <w:bCs w:val="0"/>
        </w:rPr>
        <w:t>电池管理系统</w:t>
      </w:r>
      <w:r>
        <w:rPr>
          <w:rFonts w:cs="Times New Roman"/>
          <w:b w:val="0"/>
          <w:bCs w:val="0"/>
        </w:rPr>
        <w:t xml:space="preserve"> </w:t>
      </w:r>
    </w:p>
    <w:p w14:paraId="59B22775">
      <w:pPr>
        <w:pStyle w:val="44"/>
        <w:spacing w:before="156" w:after="156"/>
        <w:ind w:firstLine="420"/>
        <w:rPr>
          <w:rFonts w:cs="Times New Roman"/>
        </w:rPr>
      </w:pPr>
      <w:r>
        <w:rPr>
          <w:rFonts w:hint="eastAsia" w:cs="Times New Roman"/>
        </w:rPr>
        <w:t>对电池管理系统的危险辨识应包括但不限于以下内容</w:t>
      </w:r>
      <w:r>
        <w:rPr>
          <w:rFonts w:cs="Times New Roman"/>
        </w:rPr>
        <w:t>：</w:t>
      </w:r>
    </w:p>
    <w:p w14:paraId="646A1DA8">
      <w:pPr>
        <w:pStyle w:val="76"/>
        <w:numPr>
          <w:ilvl w:val="0"/>
          <w:numId w:val="0"/>
        </w:numPr>
        <w:spacing w:before="156" w:after="156"/>
        <w:rPr>
          <w:rFonts w:cs="Times New Roman"/>
        </w:rPr>
      </w:pPr>
      <w:bookmarkStart w:id="19" w:name="_Toc25598"/>
      <w:r>
        <w:rPr>
          <w:rFonts w:hint="eastAsia" w:cs="Times New Roman"/>
        </w:rPr>
        <w:t>表2 电池管理系统危险辨识内容</w:t>
      </w:r>
      <w:bookmarkEnd w:id="19"/>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7"/>
        <w:gridCol w:w="2852"/>
        <w:gridCol w:w="3701"/>
      </w:tblGrid>
      <w:tr w14:paraId="3CB1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37" w:type="dxa"/>
            <w:vAlign w:val="center"/>
          </w:tcPr>
          <w:p w14:paraId="38158611">
            <w:pPr>
              <w:pStyle w:val="44"/>
              <w:spacing w:before="0" w:beforeLines="0" w:after="0" w:afterLines="0"/>
              <w:ind w:firstLine="0" w:firstLineChars="0"/>
              <w:jc w:val="center"/>
              <w:rPr>
                <w:rFonts w:cs="Times New Roman"/>
                <w:kern w:val="0"/>
                <w:sz w:val="20"/>
              </w:rPr>
            </w:pPr>
            <w:r>
              <w:rPr>
                <w:rFonts w:hint="eastAsia" w:cs="Times New Roman"/>
                <w:kern w:val="0"/>
                <w:sz w:val="20"/>
              </w:rPr>
              <w:t>电池类别</w:t>
            </w:r>
          </w:p>
        </w:tc>
        <w:tc>
          <w:tcPr>
            <w:tcW w:w="2852" w:type="dxa"/>
            <w:vAlign w:val="center"/>
          </w:tcPr>
          <w:p w14:paraId="19B8D221">
            <w:pPr>
              <w:pStyle w:val="44"/>
              <w:spacing w:before="0" w:beforeLines="0" w:after="0" w:afterLines="0"/>
              <w:ind w:firstLine="0" w:firstLineChars="0"/>
              <w:jc w:val="center"/>
              <w:rPr>
                <w:rFonts w:cs="Times New Roman"/>
                <w:kern w:val="0"/>
                <w:sz w:val="20"/>
              </w:rPr>
            </w:pPr>
            <w:r>
              <w:rPr>
                <w:rFonts w:hint="eastAsia" w:cs="Times New Roman"/>
                <w:kern w:val="0"/>
                <w:sz w:val="20"/>
              </w:rPr>
              <w:t>辨识内容</w:t>
            </w:r>
          </w:p>
        </w:tc>
        <w:tc>
          <w:tcPr>
            <w:tcW w:w="3701" w:type="dxa"/>
            <w:vAlign w:val="center"/>
          </w:tcPr>
          <w:p w14:paraId="266FED1A">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r>
      <w:tr w14:paraId="64A9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restart"/>
            <w:vAlign w:val="center"/>
          </w:tcPr>
          <w:p w14:paraId="6E8F0569">
            <w:pPr>
              <w:pStyle w:val="44"/>
              <w:spacing w:before="0" w:beforeLines="0" w:after="0" w:afterLines="0"/>
              <w:ind w:firstLine="0" w:firstLineChars="0"/>
              <w:jc w:val="center"/>
              <w:rPr>
                <w:rFonts w:cs="Times New Roman"/>
                <w:kern w:val="0"/>
                <w:sz w:val="20"/>
              </w:rPr>
            </w:pPr>
            <w:r>
              <w:rPr>
                <w:rFonts w:hint="eastAsia" w:cs="Times New Roman"/>
                <w:kern w:val="0"/>
                <w:sz w:val="20"/>
              </w:rPr>
              <w:t>所有类型电池管理系统</w:t>
            </w:r>
          </w:p>
        </w:tc>
        <w:tc>
          <w:tcPr>
            <w:tcW w:w="2852" w:type="dxa"/>
            <w:vAlign w:val="center"/>
          </w:tcPr>
          <w:p w14:paraId="563847E2">
            <w:pPr>
              <w:pStyle w:val="44"/>
              <w:spacing w:before="0" w:beforeLines="0" w:after="0" w:afterLines="0"/>
              <w:ind w:firstLine="0" w:firstLineChars="0"/>
              <w:jc w:val="center"/>
              <w:rPr>
                <w:rFonts w:cs="Times New Roman"/>
                <w:kern w:val="0"/>
                <w:sz w:val="20"/>
              </w:rPr>
            </w:pPr>
            <w:r>
              <w:rPr>
                <w:rFonts w:hint="eastAsia" w:cs="Times New Roman"/>
                <w:kern w:val="0"/>
                <w:sz w:val="20"/>
              </w:rPr>
              <w:t>传感器电压信号采集</w:t>
            </w:r>
          </w:p>
        </w:tc>
        <w:tc>
          <w:tcPr>
            <w:tcW w:w="3701" w:type="dxa"/>
            <w:vAlign w:val="center"/>
          </w:tcPr>
          <w:p w14:paraId="0E0E463F">
            <w:pPr>
              <w:pStyle w:val="44"/>
              <w:spacing w:before="0" w:beforeLines="0" w:after="0" w:afterLines="0"/>
              <w:ind w:firstLine="0" w:firstLineChars="0"/>
              <w:jc w:val="center"/>
              <w:rPr>
                <w:rFonts w:cs="Times New Roman"/>
                <w:kern w:val="0"/>
                <w:sz w:val="20"/>
              </w:rPr>
            </w:pPr>
            <w:r>
              <w:rPr>
                <w:rFonts w:hint="eastAsia" w:cs="Times New Roman"/>
                <w:kern w:val="0"/>
                <w:sz w:val="20"/>
              </w:rPr>
              <w:t>单体电压误差大于0</w:t>
            </w:r>
            <w:r>
              <w:rPr>
                <w:rFonts w:cs="Times New Roman"/>
                <w:kern w:val="0"/>
                <w:sz w:val="20"/>
              </w:rPr>
              <w:t>.5%;</w:t>
            </w:r>
          </w:p>
          <w:p w14:paraId="326DB369">
            <w:pPr>
              <w:pStyle w:val="44"/>
              <w:spacing w:before="0" w:beforeLines="0" w:after="0" w:afterLines="0"/>
              <w:ind w:firstLine="0" w:firstLineChars="0"/>
              <w:jc w:val="center"/>
              <w:rPr>
                <w:rFonts w:cs="Times New Roman"/>
                <w:kern w:val="0"/>
                <w:sz w:val="20"/>
              </w:rPr>
            </w:pPr>
            <w:r>
              <w:rPr>
                <w:rFonts w:hint="eastAsia" w:cs="Times New Roman"/>
                <w:kern w:val="0"/>
                <w:sz w:val="20"/>
              </w:rPr>
              <w:t>电池簇电压误差大于3</w:t>
            </w:r>
            <w:r>
              <w:rPr>
                <w:rFonts w:cs="Times New Roman"/>
                <w:kern w:val="0"/>
                <w:sz w:val="20"/>
              </w:rPr>
              <w:t>%</w:t>
            </w:r>
          </w:p>
        </w:tc>
      </w:tr>
      <w:tr w14:paraId="4BB6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1269D828">
            <w:pPr>
              <w:pStyle w:val="44"/>
              <w:spacing w:before="0" w:beforeLines="0" w:after="0" w:afterLines="0"/>
              <w:ind w:firstLine="0" w:firstLineChars="0"/>
              <w:jc w:val="center"/>
              <w:rPr>
                <w:rFonts w:cs="Times New Roman"/>
                <w:kern w:val="0"/>
                <w:sz w:val="20"/>
              </w:rPr>
            </w:pPr>
          </w:p>
        </w:tc>
        <w:tc>
          <w:tcPr>
            <w:tcW w:w="2852" w:type="dxa"/>
            <w:vAlign w:val="center"/>
          </w:tcPr>
          <w:p w14:paraId="44A6088B">
            <w:pPr>
              <w:pStyle w:val="44"/>
              <w:spacing w:before="0" w:beforeLines="0" w:after="0" w:afterLines="0"/>
              <w:ind w:firstLine="0" w:firstLineChars="0"/>
              <w:jc w:val="center"/>
              <w:rPr>
                <w:rFonts w:cs="Times New Roman"/>
                <w:kern w:val="0"/>
                <w:sz w:val="20"/>
              </w:rPr>
            </w:pPr>
            <w:r>
              <w:rPr>
                <w:rFonts w:hint="eastAsia" w:cs="Times New Roman"/>
                <w:kern w:val="0"/>
                <w:sz w:val="20"/>
              </w:rPr>
              <w:t>传感器电流信号采集</w:t>
            </w:r>
          </w:p>
        </w:tc>
        <w:tc>
          <w:tcPr>
            <w:tcW w:w="3701" w:type="dxa"/>
            <w:vAlign w:val="center"/>
          </w:tcPr>
          <w:p w14:paraId="7692B2B7">
            <w:pPr>
              <w:pStyle w:val="44"/>
              <w:spacing w:before="0" w:beforeLines="0" w:after="0" w:afterLines="0"/>
              <w:ind w:firstLine="0" w:firstLineChars="0"/>
              <w:jc w:val="center"/>
              <w:rPr>
                <w:rFonts w:cs="Times New Roman"/>
                <w:kern w:val="0"/>
                <w:sz w:val="20"/>
              </w:rPr>
            </w:pPr>
            <w:r>
              <w:rPr>
                <w:rFonts w:hint="eastAsia" w:cs="Times New Roman"/>
                <w:kern w:val="0"/>
                <w:sz w:val="20"/>
              </w:rPr>
              <w:t>电池簇电流误差大于3</w:t>
            </w:r>
            <w:r>
              <w:rPr>
                <w:rFonts w:cs="Times New Roman"/>
                <w:kern w:val="0"/>
                <w:sz w:val="20"/>
              </w:rPr>
              <w:t>%</w:t>
            </w:r>
          </w:p>
        </w:tc>
      </w:tr>
      <w:tr w14:paraId="487E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2A0DBA8E">
            <w:pPr>
              <w:pStyle w:val="44"/>
              <w:spacing w:before="0" w:beforeLines="0" w:after="0" w:afterLines="0"/>
              <w:ind w:firstLine="0" w:firstLineChars="0"/>
              <w:jc w:val="center"/>
              <w:rPr>
                <w:rFonts w:cs="Times New Roman"/>
                <w:kern w:val="0"/>
                <w:sz w:val="20"/>
              </w:rPr>
            </w:pPr>
          </w:p>
        </w:tc>
        <w:tc>
          <w:tcPr>
            <w:tcW w:w="2852" w:type="dxa"/>
            <w:vAlign w:val="center"/>
          </w:tcPr>
          <w:p w14:paraId="2760EF4C">
            <w:pPr>
              <w:pStyle w:val="44"/>
              <w:spacing w:before="0" w:beforeLines="0" w:after="0" w:afterLines="0"/>
              <w:ind w:firstLine="0" w:firstLineChars="0"/>
              <w:jc w:val="center"/>
              <w:rPr>
                <w:rFonts w:cs="Times New Roman"/>
                <w:kern w:val="0"/>
                <w:sz w:val="20"/>
              </w:rPr>
            </w:pPr>
            <w:r>
              <w:rPr>
                <w:rFonts w:hint="eastAsia" w:cs="Times New Roman"/>
                <w:kern w:val="0"/>
                <w:sz w:val="20"/>
              </w:rPr>
              <w:t>温度信号采集</w:t>
            </w:r>
          </w:p>
        </w:tc>
        <w:tc>
          <w:tcPr>
            <w:tcW w:w="3701" w:type="dxa"/>
            <w:vAlign w:val="center"/>
          </w:tcPr>
          <w:p w14:paraId="2F377BA2">
            <w:pPr>
              <w:pStyle w:val="44"/>
              <w:spacing w:before="0" w:beforeLines="0" w:after="0" w:afterLines="0"/>
              <w:ind w:firstLine="0" w:firstLineChars="0"/>
              <w:jc w:val="center"/>
              <w:rPr>
                <w:rFonts w:cs="Times New Roman"/>
                <w:kern w:val="0"/>
                <w:sz w:val="20"/>
              </w:rPr>
            </w:pPr>
            <w:r>
              <w:rPr>
                <w:rFonts w:hint="eastAsia" w:cs="Times New Roman"/>
                <w:kern w:val="0"/>
                <w:sz w:val="20"/>
              </w:rPr>
              <w:t>电池单体温度超出正常工作范围1</w:t>
            </w:r>
            <w:r>
              <w:rPr>
                <w:rFonts w:cs="Times New Roman"/>
                <w:kern w:val="0"/>
                <w:sz w:val="20"/>
              </w:rPr>
              <w:t>0%</w:t>
            </w:r>
            <w:r>
              <w:rPr>
                <w:rFonts w:hint="eastAsia" w:cs="Times New Roman"/>
                <w:kern w:val="0"/>
                <w:sz w:val="20"/>
              </w:rPr>
              <w:t>以上且时间长于5秒</w:t>
            </w:r>
          </w:p>
        </w:tc>
      </w:tr>
      <w:tr w14:paraId="20B9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45FCC3EA">
            <w:pPr>
              <w:pStyle w:val="44"/>
              <w:spacing w:before="0" w:beforeLines="0" w:after="0" w:afterLines="0"/>
              <w:ind w:firstLine="0" w:firstLineChars="0"/>
              <w:jc w:val="center"/>
              <w:rPr>
                <w:rFonts w:cs="Times New Roman"/>
                <w:kern w:val="0"/>
                <w:sz w:val="20"/>
              </w:rPr>
            </w:pPr>
          </w:p>
        </w:tc>
        <w:tc>
          <w:tcPr>
            <w:tcW w:w="2852" w:type="dxa"/>
            <w:vAlign w:val="center"/>
          </w:tcPr>
          <w:p w14:paraId="500331D4">
            <w:pPr>
              <w:pStyle w:val="44"/>
              <w:spacing w:before="0" w:beforeLines="0" w:after="0" w:afterLines="0"/>
              <w:ind w:firstLine="0" w:firstLineChars="0"/>
              <w:jc w:val="center"/>
              <w:rPr>
                <w:rFonts w:cs="Times New Roman"/>
                <w:kern w:val="0"/>
                <w:sz w:val="20"/>
              </w:rPr>
            </w:pPr>
            <w:r>
              <w:rPr>
                <w:rFonts w:hint="eastAsia" w:cs="Times New Roman"/>
                <w:kern w:val="0"/>
                <w:sz w:val="20"/>
              </w:rPr>
              <w:t>电池能量状态估算</w:t>
            </w:r>
          </w:p>
        </w:tc>
        <w:tc>
          <w:tcPr>
            <w:tcW w:w="3701" w:type="dxa"/>
            <w:vAlign w:val="center"/>
          </w:tcPr>
          <w:p w14:paraId="3F44C897">
            <w:pPr>
              <w:pStyle w:val="44"/>
              <w:spacing w:before="0" w:beforeLines="0" w:after="0" w:afterLines="0"/>
              <w:ind w:firstLine="0" w:firstLineChars="0"/>
              <w:jc w:val="center"/>
              <w:rPr>
                <w:rFonts w:cs="Times New Roman"/>
                <w:kern w:val="0"/>
                <w:sz w:val="20"/>
              </w:rPr>
            </w:pPr>
            <w:r>
              <w:rPr>
                <w:rFonts w:hint="eastAsia" w:cs="Times New Roman"/>
                <w:kern w:val="0"/>
                <w:sz w:val="20"/>
              </w:rPr>
              <w:t>估算误差大于5</w:t>
            </w:r>
            <w:r>
              <w:rPr>
                <w:rFonts w:cs="Times New Roman"/>
                <w:kern w:val="0"/>
                <w:sz w:val="20"/>
              </w:rPr>
              <w:t>%</w:t>
            </w:r>
          </w:p>
        </w:tc>
      </w:tr>
      <w:tr w14:paraId="26F3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07EFC6B8">
            <w:pPr>
              <w:pStyle w:val="44"/>
              <w:spacing w:before="0" w:beforeLines="0" w:after="0" w:afterLines="0"/>
              <w:ind w:firstLine="0" w:firstLineChars="0"/>
              <w:jc w:val="center"/>
              <w:rPr>
                <w:rFonts w:cs="Times New Roman"/>
                <w:kern w:val="0"/>
                <w:sz w:val="20"/>
              </w:rPr>
            </w:pPr>
          </w:p>
        </w:tc>
        <w:tc>
          <w:tcPr>
            <w:tcW w:w="2852" w:type="dxa"/>
            <w:vAlign w:val="center"/>
          </w:tcPr>
          <w:p w14:paraId="4C07CDD3">
            <w:pPr>
              <w:pStyle w:val="44"/>
              <w:spacing w:before="0" w:beforeLines="0" w:after="0" w:afterLines="0"/>
              <w:ind w:firstLine="0" w:firstLineChars="0"/>
              <w:jc w:val="center"/>
              <w:rPr>
                <w:rFonts w:cs="Times New Roman"/>
                <w:kern w:val="0"/>
                <w:sz w:val="20"/>
              </w:rPr>
            </w:pPr>
            <w:r>
              <w:rPr>
                <w:rFonts w:hint="eastAsia" w:cs="Times New Roman"/>
                <w:kern w:val="0"/>
                <w:sz w:val="20"/>
              </w:rPr>
              <w:t>电池簇绝缘电阻</w:t>
            </w:r>
          </w:p>
        </w:tc>
        <w:tc>
          <w:tcPr>
            <w:tcW w:w="3701" w:type="dxa"/>
            <w:vAlign w:val="center"/>
          </w:tcPr>
          <w:p w14:paraId="36137410">
            <w:pPr>
              <w:pStyle w:val="44"/>
              <w:spacing w:before="0" w:beforeLines="0" w:after="0" w:afterLines="0"/>
              <w:ind w:firstLine="0" w:firstLineChars="0"/>
              <w:jc w:val="center"/>
              <w:rPr>
                <w:rFonts w:cs="Times New Roman"/>
                <w:kern w:val="0"/>
                <w:sz w:val="20"/>
              </w:rPr>
            </w:pPr>
            <w:r>
              <w:rPr>
                <w:rFonts w:hint="eastAsia" w:cs="Times New Roman"/>
                <w:kern w:val="0"/>
                <w:sz w:val="20"/>
              </w:rPr>
              <w:t>绝缘电阻小于正常值的5</w:t>
            </w:r>
            <w:r>
              <w:rPr>
                <w:rFonts w:cs="Times New Roman"/>
                <w:kern w:val="0"/>
                <w:sz w:val="20"/>
              </w:rPr>
              <w:t>0%</w:t>
            </w:r>
            <w:r>
              <w:rPr>
                <w:rFonts w:hint="eastAsia" w:cs="Times New Roman"/>
                <w:kern w:val="0"/>
                <w:sz w:val="20"/>
              </w:rPr>
              <w:t>；</w:t>
            </w:r>
          </w:p>
          <w:p w14:paraId="10F086E9">
            <w:pPr>
              <w:pStyle w:val="44"/>
              <w:spacing w:before="0" w:beforeLines="0" w:after="0" w:afterLines="0"/>
              <w:ind w:firstLine="0" w:firstLineChars="0"/>
              <w:jc w:val="center"/>
              <w:rPr>
                <w:rFonts w:cs="Times New Roman"/>
                <w:kern w:val="0"/>
                <w:sz w:val="20"/>
              </w:rPr>
            </w:pPr>
            <w:r>
              <w:rPr>
                <w:rFonts w:hint="eastAsia" w:cs="Times New Roman"/>
                <w:kern w:val="0"/>
                <w:sz w:val="20"/>
              </w:rPr>
              <w:t>绝缘电阻检测误差大于1</w:t>
            </w:r>
            <w:r>
              <w:rPr>
                <w:rFonts w:cs="Times New Roman"/>
                <w:kern w:val="0"/>
                <w:sz w:val="20"/>
              </w:rPr>
              <w:t>5%</w:t>
            </w:r>
          </w:p>
        </w:tc>
      </w:tr>
      <w:tr w14:paraId="73B3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5659123D">
            <w:pPr>
              <w:pStyle w:val="44"/>
              <w:spacing w:before="0" w:beforeLines="0" w:after="0" w:afterLines="0"/>
              <w:ind w:firstLine="0" w:firstLineChars="0"/>
              <w:jc w:val="center"/>
              <w:rPr>
                <w:rFonts w:cs="Times New Roman"/>
                <w:kern w:val="0"/>
                <w:sz w:val="20"/>
              </w:rPr>
            </w:pPr>
          </w:p>
        </w:tc>
        <w:tc>
          <w:tcPr>
            <w:tcW w:w="2852" w:type="dxa"/>
            <w:vAlign w:val="center"/>
          </w:tcPr>
          <w:p w14:paraId="3B99FE51">
            <w:pPr>
              <w:pStyle w:val="44"/>
              <w:spacing w:before="0" w:beforeLines="0" w:after="0" w:afterLines="0"/>
              <w:ind w:firstLine="0" w:firstLineChars="0"/>
              <w:jc w:val="center"/>
              <w:rPr>
                <w:rFonts w:cs="Times New Roman"/>
                <w:kern w:val="0"/>
                <w:sz w:val="20"/>
              </w:rPr>
            </w:pPr>
            <w:r>
              <w:rPr>
                <w:rFonts w:hint="eastAsia" w:cs="Times New Roman"/>
                <w:kern w:val="0"/>
                <w:sz w:val="20"/>
              </w:rPr>
              <w:t>信号数据读取、处理与存储</w:t>
            </w:r>
          </w:p>
        </w:tc>
        <w:tc>
          <w:tcPr>
            <w:tcW w:w="3701" w:type="dxa"/>
            <w:vAlign w:val="center"/>
          </w:tcPr>
          <w:p w14:paraId="37FD3903">
            <w:pPr>
              <w:pStyle w:val="44"/>
              <w:spacing w:before="0" w:beforeLines="0" w:after="0" w:afterLines="0"/>
              <w:ind w:firstLine="0" w:firstLineChars="0"/>
              <w:jc w:val="center"/>
              <w:rPr>
                <w:rFonts w:cs="Times New Roman"/>
                <w:kern w:val="0"/>
                <w:sz w:val="20"/>
              </w:rPr>
            </w:pPr>
            <w:r>
              <w:rPr>
                <w:rFonts w:hint="eastAsia" w:cs="Times New Roman"/>
                <w:kern w:val="0"/>
                <w:sz w:val="20"/>
              </w:rPr>
              <w:t>信号读取延迟大于5s；</w:t>
            </w:r>
          </w:p>
          <w:p w14:paraId="2F988797">
            <w:pPr>
              <w:pStyle w:val="44"/>
              <w:spacing w:before="0" w:beforeLines="0" w:after="0" w:afterLines="0"/>
              <w:ind w:firstLine="0" w:firstLineChars="0"/>
              <w:jc w:val="center"/>
              <w:rPr>
                <w:rFonts w:cs="Times New Roman"/>
                <w:kern w:val="0"/>
                <w:sz w:val="20"/>
              </w:rPr>
            </w:pPr>
            <w:r>
              <w:rPr>
                <w:rFonts w:hint="eastAsia" w:cs="Times New Roman"/>
                <w:kern w:val="0"/>
                <w:sz w:val="20"/>
              </w:rPr>
              <w:t>存储时长小于</w:t>
            </w:r>
            <w:r>
              <w:rPr>
                <w:rFonts w:cs="Times New Roman"/>
                <w:kern w:val="0"/>
                <w:sz w:val="20"/>
              </w:rPr>
              <w:t>120</w:t>
            </w:r>
            <w:r>
              <w:rPr>
                <w:rFonts w:hint="eastAsia" w:cs="Times New Roman"/>
                <w:kern w:val="0"/>
                <w:sz w:val="20"/>
              </w:rPr>
              <w:t>天；</w:t>
            </w:r>
          </w:p>
        </w:tc>
      </w:tr>
      <w:tr w14:paraId="08B8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4C9A18D0">
            <w:pPr>
              <w:pStyle w:val="44"/>
              <w:spacing w:before="0" w:beforeLines="0" w:after="0" w:afterLines="0"/>
              <w:ind w:firstLine="0" w:firstLineChars="0"/>
              <w:jc w:val="center"/>
              <w:rPr>
                <w:rFonts w:cs="Times New Roman"/>
                <w:kern w:val="0"/>
                <w:sz w:val="20"/>
              </w:rPr>
            </w:pPr>
          </w:p>
        </w:tc>
        <w:tc>
          <w:tcPr>
            <w:tcW w:w="2852" w:type="dxa"/>
            <w:vAlign w:val="center"/>
          </w:tcPr>
          <w:p w14:paraId="31926872">
            <w:pPr>
              <w:pStyle w:val="44"/>
              <w:spacing w:before="0" w:beforeLines="0" w:after="0" w:afterLines="0"/>
              <w:ind w:firstLine="0" w:firstLineChars="0"/>
              <w:jc w:val="center"/>
              <w:rPr>
                <w:rFonts w:cs="Times New Roman"/>
                <w:kern w:val="0"/>
                <w:sz w:val="20"/>
              </w:rPr>
            </w:pPr>
            <w:r>
              <w:rPr>
                <w:rFonts w:hint="eastAsia" w:cs="Times New Roman"/>
                <w:kern w:val="0"/>
                <w:sz w:val="20"/>
              </w:rPr>
              <w:t>电池管理系统电压</w:t>
            </w:r>
          </w:p>
        </w:tc>
        <w:tc>
          <w:tcPr>
            <w:tcW w:w="3701" w:type="dxa"/>
            <w:vAlign w:val="center"/>
          </w:tcPr>
          <w:p w14:paraId="13DBA95B">
            <w:pPr>
              <w:pStyle w:val="44"/>
              <w:spacing w:before="0" w:beforeLines="0" w:after="0" w:afterLines="0"/>
              <w:ind w:firstLine="0" w:firstLineChars="0"/>
              <w:jc w:val="center"/>
              <w:rPr>
                <w:rFonts w:cs="Times New Roman"/>
                <w:kern w:val="0"/>
                <w:sz w:val="20"/>
              </w:rPr>
            </w:pPr>
            <w:r>
              <w:rPr>
                <w:rFonts w:hint="eastAsia" w:cs="Times New Roman"/>
                <w:kern w:val="0"/>
                <w:sz w:val="20"/>
              </w:rPr>
              <w:t>供电电压超出额定工作电压的8</w:t>
            </w:r>
            <w:r>
              <w:rPr>
                <w:rFonts w:cs="Times New Roman"/>
                <w:kern w:val="0"/>
                <w:sz w:val="20"/>
              </w:rPr>
              <w:t>0%</w:t>
            </w:r>
            <w:r>
              <w:rPr>
                <w:rFonts w:hint="eastAsia" w:cs="Times New Roman"/>
                <w:kern w:val="0"/>
                <w:sz w:val="20"/>
              </w:rPr>
              <w:t>~</w:t>
            </w:r>
            <w:r>
              <w:rPr>
                <w:rFonts w:cs="Times New Roman"/>
                <w:kern w:val="0"/>
                <w:sz w:val="20"/>
              </w:rPr>
              <w:t>120%</w:t>
            </w:r>
            <w:r>
              <w:rPr>
                <w:rFonts w:hint="eastAsia" w:cs="Times New Roman"/>
                <w:kern w:val="0"/>
                <w:sz w:val="20"/>
              </w:rPr>
              <w:t>；</w:t>
            </w:r>
          </w:p>
        </w:tc>
      </w:tr>
      <w:tr w14:paraId="29C4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253F99BC">
            <w:pPr>
              <w:pStyle w:val="44"/>
              <w:spacing w:before="0" w:beforeLines="0" w:after="0" w:afterLines="0"/>
              <w:ind w:firstLine="0" w:firstLineChars="0"/>
              <w:jc w:val="center"/>
              <w:rPr>
                <w:rFonts w:cs="Times New Roman"/>
                <w:kern w:val="0"/>
                <w:sz w:val="20"/>
              </w:rPr>
            </w:pPr>
          </w:p>
        </w:tc>
        <w:tc>
          <w:tcPr>
            <w:tcW w:w="2852" w:type="dxa"/>
            <w:vAlign w:val="center"/>
          </w:tcPr>
          <w:p w14:paraId="140BF21A">
            <w:pPr>
              <w:pStyle w:val="44"/>
              <w:spacing w:before="0" w:beforeLines="0" w:after="0" w:afterLines="0"/>
              <w:ind w:firstLine="0" w:firstLineChars="0"/>
              <w:jc w:val="center"/>
              <w:rPr>
                <w:rFonts w:cs="Times New Roman"/>
                <w:kern w:val="0"/>
                <w:sz w:val="20"/>
              </w:rPr>
            </w:pPr>
            <w:r>
              <w:rPr>
                <w:rFonts w:hint="eastAsia" w:cs="Times New Roman"/>
                <w:kern w:val="0"/>
                <w:sz w:val="20"/>
              </w:rPr>
              <w:t>通信</w:t>
            </w:r>
          </w:p>
        </w:tc>
        <w:tc>
          <w:tcPr>
            <w:tcW w:w="3701" w:type="dxa"/>
            <w:vAlign w:val="center"/>
          </w:tcPr>
          <w:p w14:paraId="319419BF">
            <w:pPr>
              <w:pStyle w:val="44"/>
              <w:spacing w:before="0" w:beforeLines="0" w:after="0" w:afterLines="0"/>
              <w:ind w:firstLine="0" w:firstLineChars="0"/>
              <w:jc w:val="center"/>
              <w:rPr>
                <w:rFonts w:cs="Times New Roman"/>
                <w:kern w:val="0"/>
                <w:sz w:val="20"/>
              </w:rPr>
            </w:pPr>
            <w:r>
              <w:rPr>
                <w:rFonts w:hint="eastAsia" w:cs="Times New Roman"/>
                <w:kern w:val="0"/>
                <w:sz w:val="20"/>
              </w:rPr>
              <w:t>内部通信故障；外部通信故障</w:t>
            </w:r>
          </w:p>
        </w:tc>
      </w:tr>
      <w:tr w14:paraId="1FD5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restart"/>
            <w:vAlign w:val="center"/>
          </w:tcPr>
          <w:p w14:paraId="2D1DE9AD">
            <w:pPr>
              <w:pStyle w:val="44"/>
              <w:spacing w:before="0" w:beforeLines="0" w:after="0" w:afterLines="0"/>
              <w:ind w:firstLine="0" w:firstLineChars="0"/>
              <w:jc w:val="center"/>
              <w:rPr>
                <w:rFonts w:cs="Times New Roman"/>
                <w:kern w:val="0"/>
                <w:sz w:val="20"/>
              </w:rPr>
            </w:pPr>
            <w:r>
              <w:rPr>
                <w:rFonts w:hint="eastAsia" w:cs="Times New Roman"/>
                <w:kern w:val="0"/>
                <w:sz w:val="20"/>
              </w:rPr>
              <w:t>锂离子储能电池、钠离子电池和铅炭/铅酸电池</w:t>
            </w:r>
          </w:p>
        </w:tc>
        <w:tc>
          <w:tcPr>
            <w:tcW w:w="2852" w:type="dxa"/>
            <w:vAlign w:val="center"/>
          </w:tcPr>
          <w:p w14:paraId="1E9C8EC3">
            <w:pPr>
              <w:pStyle w:val="44"/>
              <w:spacing w:before="0" w:beforeLines="0" w:after="0" w:afterLines="0"/>
              <w:ind w:firstLine="0" w:firstLineChars="0"/>
              <w:jc w:val="center"/>
              <w:rPr>
                <w:rFonts w:cs="Times New Roman"/>
                <w:kern w:val="0"/>
                <w:sz w:val="20"/>
              </w:rPr>
            </w:pPr>
            <w:r>
              <w:rPr>
                <w:rFonts w:hint="eastAsia" w:cs="Times New Roman"/>
                <w:kern w:val="0"/>
                <w:sz w:val="20"/>
              </w:rPr>
              <w:t>熔断器</w:t>
            </w:r>
          </w:p>
        </w:tc>
        <w:tc>
          <w:tcPr>
            <w:tcW w:w="3701" w:type="dxa"/>
            <w:vAlign w:val="center"/>
          </w:tcPr>
          <w:p w14:paraId="7E59C2A4">
            <w:pPr>
              <w:pStyle w:val="44"/>
              <w:spacing w:before="0" w:beforeLines="0" w:after="0" w:afterLines="0"/>
              <w:ind w:firstLine="0" w:firstLineChars="0"/>
              <w:jc w:val="center"/>
              <w:rPr>
                <w:rFonts w:cs="Times New Roman"/>
                <w:kern w:val="0"/>
                <w:sz w:val="20"/>
              </w:rPr>
            </w:pPr>
            <w:r>
              <w:rPr>
                <w:rFonts w:hint="eastAsia" w:cs="Times New Roman"/>
                <w:kern w:val="0"/>
                <w:sz w:val="20"/>
              </w:rPr>
              <w:t>过流保护器件断开</w:t>
            </w:r>
          </w:p>
        </w:tc>
      </w:tr>
      <w:tr w14:paraId="22DE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156BCD34">
            <w:pPr>
              <w:pStyle w:val="44"/>
              <w:spacing w:before="0" w:beforeLines="0" w:after="0" w:afterLines="0"/>
              <w:ind w:firstLine="0" w:firstLineChars="0"/>
              <w:jc w:val="center"/>
              <w:rPr>
                <w:rFonts w:cs="Times New Roman"/>
                <w:kern w:val="0"/>
                <w:sz w:val="20"/>
              </w:rPr>
            </w:pPr>
          </w:p>
        </w:tc>
        <w:tc>
          <w:tcPr>
            <w:tcW w:w="2852" w:type="dxa"/>
            <w:vAlign w:val="center"/>
          </w:tcPr>
          <w:p w14:paraId="0109C03F">
            <w:pPr>
              <w:pStyle w:val="44"/>
              <w:spacing w:before="0" w:beforeLines="0" w:after="0" w:afterLines="0"/>
              <w:ind w:firstLine="0" w:firstLineChars="0"/>
              <w:jc w:val="center"/>
              <w:rPr>
                <w:rFonts w:cs="Times New Roman"/>
                <w:kern w:val="0"/>
                <w:sz w:val="20"/>
              </w:rPr>
            </w:pPr>
            <w:r>
              <w:rPr>
                <w:rFonts w:hint="eastAsia" w:cs="Times New Roman"/>
                <w:kern w:val="0"/>
                <w:sz w:val="20"/>
              </w:rPr>
              <w:t>均衡回路</w:t>
            </w:r>
          </w:p>
        </w:tc>
        <w:tc>
          <w:tcPr>
            <w:tcW w:w="3701" w:type="dxa"/>
            <w:vAlign w:val="center"/>
          </w:tcPr>
          <w:p w14:paraId="6AC73F83">
            <w:pPr>
              <w:pStyle w:val="44"/>
              <w:spacing w:before="0" w:beforeLines="0" w:after="0" w:afterLines="0"/>
              <w:ind w:firstLine="0" w:firstLineChars="0"/>
              <w:jc w:val="center"/>
              <w:rPr>
                <w:rFonts w:cs="Times New Roman"/>
                <w:kern w:val="0"/>
                <w:sz w:val="20"/>
              </w:rPr>
            </w:pPr>
            <w:r>
              <w:rPr>
                <w:rFonts w:hint="eastAsia" w:cs="Times New Roman"/>
                <w:kern w:val="0"/>
                <w:sz w:val="20"/>
              </w:rPr>
              <w:t>均衡回路异常</w:t>
            </w:r>
          </w:p>
        </w:tc>
      </w:tr>
      <w:tr w14:paraId="0F5F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Align w:val="center"/>
          </w:tcPr>
          <w:p w14:paraId="2B45E861">
            <w:pPr>
              <w:pStyle w:val="44"/>
              <w:spacing w:before="0" w:beforeLines="0" w:after="0" w:afterLines="0"/>
              <w:ind w:firstLine="0" w:firstLineChars="0"/>
              <w:jc w:val="center"/>
              <w:rPr>
                <w:rFonts w:cs="Times New Roman"/>
                <w:kern w:val="0"/>
                <w:sz w:val="20"/>
              </w:rPr>
            </w:pPr>
            <w:r>
              <w:rPr>
                <w:rFonts w:hint="eastAsia" w:cs="Times New Roman"/>
                <w:kern w:val="0"/>
                <w:sz w:val="20"/>
              </w:rPr>
              <w:t>液流电池</w:t>
            </w:r>
          </w:p>
        </w:tc>
        <w:tc>
          <w:tcPr>
            <w:tcW w:w="2852" w:type="dxa"/>
            <w:vAlign w:val="center"/>
          </w:tcPr>
          <w:p w14:paraId="5995A7D9">
            <w:pPr>
              <w:pStyle w:val="44"/>
              <w:spacing w:before="0" w:beforeLines="0" w:after="0" w:afterLines="0"/>
              <w:ind w:firstLine="0" w:firstLineChars="0"/>
              <w:jc w:val="center"/>
              <w:rPr>
                <w:rFonts w:cs="Times New Roman"/>
                <w:kern w:val="0"/>
                <w:sz w:val="20"/>
              </w:rPr>
            </w:pPr>
            <w:r>
              <w:rPr>
                <w:rFonts w:hint="eastAsia" w:cs="Times New Roman"/>
                <w:kern w:val="0"/>
                <w:sz w:val="20"/>
              </w:rPr>
              <w:t>电解液</w:t>
            </w:r>
          </w:p>
        </w:tc>
        <w:tc>
          <w:tcPr>
            <w:tcW w:w="3701" w:type="dxa"/>
            <w:vAlign w:val="center"/>
          </w:tcPr>
          <w:p w14:paraId="515E0214">
            <w:pPr>
              <w:pStyle w:val="44"/>
              <w:spacing w:before="0" w:beforeLines="0" w:after="0" w:afterLines="0"/>
              <w:ind w:firstLine="0" w:firstLineChars="0"/>
              <w:jc w:val="center"/>
              <w:rPr>
                <w:kern w:val="0"/>
                <w:sz w:val="20"/>
              </w:rPr>
            </w:pPr>
            <w:r>
              <w:rPr>
                <w:rFonts w:hint="eastAsia"/>
                <w:kern w:val="0"/>
                <w:sz w:val="20"/>
              </w:rPr>
              <w:t>电解液漏液故障</w:t>
            </w:r>
          </w:p>
        </w:tc>
      </w:tr>
      <w:tr w14:paraId="3952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restart"/>
            <w:vAlign w:val="center"/>
          </w:tcPr>
          <w:p w14:paraId="78A2E431">
            <w:pPr>
              <w:pStyle w:val="44"/>
              <w:spacing w:before="0" w:beforeLines="0" w:after="0" w:afterLines="0"/>
              <w:ind w:firstLine="0" w:firstLineChars="0"/>
              <w:jc w:val="center"/>
              <w:rPr>
                <w:rFonts w:cs="Times New Roman"/>
                <w:kern w:val="0"/>
                <w:sz w:val="20"/>
              </w:rPr>
            </w:pPr>
            <w:r>
              <w:rPr>
                <w:rFonts w:hint="eastAsia" w:cs="Times New Roman"/>
                <w:kern w:val="0"/>
                <w:sz w:val="20"/>
              </w:rPr>
              <w:t>氢燃料电池</w:t>
            </w:r>
          </w:p>
        </w:tc>
        <w:tc>
          <w:tcPr>
            <w:tcW w:w="2852" w:type="dxa"/>
            <w:vAlign w:val="center"/>
          </w:tcPr>
          <w:p w14:paraId="265FA74A">
            <w:pPr>
              <w:pStyle w:val="44"/>
              <w:spacing w:before="0" w:beforeLines="0" w:after="0" w:afterLines="0"/>
              <w:ind w:firstLine="0" w:firstLineChars="0"/>
              <w:jc w:val="center"/>
              <w:rPr>
                <w:rFonts w:cs="Times New Roman"/>
                <w:kern w:val="0"/>
                <w:sz w:val="20"/>
              </w:rPr>
            </w:pPr>
            <w:r>
              <w:rPr>
                <w:rFonts w:hint="eastAsia" w:cs="Times New Roman"/>
                <w:kern w:val="0"/>
                <w:sz w:val="20"/>
              </w:rPr>
              <w:t>电解槽</w:t>
            </w:r>
          </w:p>
        </w:tc>
        <w:tc>
          <w:tcPr>
            <w:tcW w:w="3701" w:type="dxa"/>
            <w:vAlign w:val="center"/>
          </w:tcPr>
          <w:p w14:paraId="79001B71">
            <w:pPr>
              <w:pStyle w:val="44"/>
              <w:spacing w:before="0" w:beforeLines="0" w:after="0" w:afterLines="0"/>
              <w:ind w:firstLine="0" w:firstLineChars="0"/>
              <w:jc w:val="center"/>
              <w:rPr>
                <w:kern w:val="0"/>
                <w:sz w:val="20"/>
              </w:rPr>
            </w:pPr>
            <w:r>
              <w:rPr>
                <w:rFonts w:hint="eastAsia"/>
                <w:kern w:val="0"/>
                <w:sz w:val="20"/>
              </w:rPr>
              <w:t>氢/氧浓度超出正常范围且持续1</w:t>
            </w:r>
            <w:r>
              <w:rPr>
                <w:kern w:val="0"/>
                <w:sz w:val="20"/>
              </w:rPr>
              <w:t>0</w:t>
            </w:r>
            <w:r>
              <w:rPr>
                <w:rFonts w:hint="eastAsia"/>
                <w:kern w:val="0"/>
                <w:sz w:val="20"/>
              </w:rPr>
              <w:t>秒以上；</w:t>
            </w:r>
          </w:p>
          <w:p w14:paraId="07C6D0E4">
            <w:pPr>
              <w:pStyle w:val="44"/>
              <w:spacing w:before="0" w:beforeLines="0" w:after="0" w:afterLines="0"/>
              <w:ind w:firstLine="0" w:firstLineChars="0"/>
              <w:jc w:val="center"/>
              <w:rPr>
                <w:kern w:val="0"/>
                <w:sz w:val="20"/>
              </w:rPr>
            </w:pPr>
            <w:r>
              <w:rPr>
                <w:rFonts w:hint="eastAsia"/>
                <w:kern w:val="0"/>
                <w:sz w:val="20"/>
              </w:rPr>
              <w:t>电解槽压力超出正常范围；</w:t>
            </w:r>
          </w:p>
          <w:p w14:paraId="56BECB73">
            <w:pPr>
              <w:pStyle w:val="44"/>
              <w:spacing w:before="0" w:beforeLines="0" w:after="0" w:afterLines="0"/>
              <w:ind w:firstLine="0" w:firstLineChars="0"/>
              <w:jc w:val="center"/>
              <w:rPr>
                <w:kern w:val="0"/>
                <w:sz w:val="20"/>
              </w:rPr>
            </w:pPr>
            <w:r>
              <w:rPr>
                <w:rFonts w:hint="eastAsia"/>
                <w:kern w:val="0"/>
                <w:sz w:val="20"/>
              </w:rPr>
              <w:t>电解槽液位绝对值超出正常范围；</w:t>
            </w:r>
          </w:p>
          <w:p w14:paraId="6CAD0A06">
            <w:pPr>
              <w:pStyle w:val="44"/>
              <w:spacing w:before="0" w:beforeLines="0" w:after="0" w:afterLines="0"/>
              <w:ind w:firstLine="0" w:firstLineChars="0"/>
              <w:jc w:val="center"/>
              <w:rPr>
                <w:kern w:val="0"/>
                <w:sz w:val="20"/>
              </w:rPr>
            </w:pPr>
            <w:r>
              <w:rPr>
                <w:rFonts w:hint="eastAsia"/>
                <w:kern w:val="0"/>
                <w:sz w:val="20"/>
              </w:rPr>
              <w:t>电解槽温度超出正常范围1</w:t>
            </w:r>
            <w:r>
              <w:rPr>
                <w:kern w:val="0"/>
                <w:sz w:val="20"/>
              </w:rPr>
              <w:t>0%</w:t>
            </w:r>
            <w:r>
              <w:rPr>
                <w:rFonts w:hint="eastAsia"/>
                <w:kern w:val="0"/>
                <w:sz w:val="20"/>
              </w:rPr>
              <w:t>以上且持续1</w:t>
            </w:r>
            <w:r>
              <w:rPr>
                <w:kern w:val="0"/>
                <w:sz w:val="20"/>
              </w:rPr>
              <w:t>0</w:t>
            </w:r>
            <w:r>
              <w:rPr>
                <w:rFonts w:hint="eastAsia"/>
                <w:kern w:val="0"/>
                <w:sz w:val="20"/>
              </w:rPr>
              <w:t>秒以上；</w:t>
            </w:r>
          </w:p>
        </w:tc>
      </w:tr>
      <w:tr w14:paraId="30C0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vMerge w:val="continue"/>
            <w:vAlign w:val="center"/>
          </w:tcPr>
          <w:p w14:paraId="2A44D2C3">
            <w:pPr>
              <w:pStyle w:val="44"/>
              <w:spacing w:before="0" w:beforeLines="0" w:after="0" w:afterLines="0"/>
              <w:ind w:firstLine="0" w:firstLineChars="0"/>
              <w:jc w:val="center"/>
              <w:rPr>
                <w:rFonts w:cs="Times New Roman"/>
                <w:kern w:val="0"/>
                <w:sz w:val="20"/>
              </w:rPr>
            </w:pPr>
          </w:p>
        </w:tc>
        <w:tc>
          <w:tcPr>
            <w:tcW w:w="2852" w:type="dxa"/>
            <w:vAlign w:val="center"/>
          </w:tcPr>
          <w:p w14:paraId="457872B1">
            <w:pPr>
              <w:pStyle w:val="44"/>
              <w:spacing w:before="0" w:beforeLines="0" w:after="0" w:afterLines="0"/>
              <w:ind w:firstLine="0" w:firstLineChars="0"/>
              <w:jc w:val="center"/>
              <w:rPr>
                <w:rFonts w:cs="Times New Roman"/>
                <w:kern w:val="0"/>
                <w:sz w:val="20"/>
              </w:rPr>
            </w:pPr>
            <w:r>
              <w:rPr>
                <w:rFonts w:hint="eastAsia" w:cs="Times New Roman"/>
                <w:kern w:val="0"/>
                <w:sz w:val="20"/>
              </w:rPr>
              <w:t>电堆</w:t>
            </w:r>
          </w:p>
        </w:tc>
        <w:tc>
          <w:tcPr>
            <w:tcW w:w="3701" w:type="dxa"/>
            <w:vAlign w:val="center"/>
          </w:tcPr>
          <w:p w14:paraId="03E5F48D">
            <w:pPr>
              <w:pStyle w:val="44"/>
              <w:spacing w:before="0" w:beforeLines="0" w:after="0" w:afterLines="0"/>
              <w:ind w:firstLine="0" w:firstLineChars="0"/>
              <w:jc w:val="center"/>
              <w:rPr>
                <w:kern w:val="0"/>
                <w:sz w:val="20"/>
              </w:rPr>
            </w:pPr>
            <w:r>
              <w:rPr>
                <w:rFonts w:hint="eastAsia"/>
                <w:kern w:val="0"/>
                <w:sz w:val="20"/>
              </w:rPr>
              <w:t>电堆温度超出正常范围且持续1</w:t>
            </w:r>
            <w:r>
              <w:rPr>
                <w:kern w:val="0"/>
                <w:sz w:val="20"/>
              </w:rPr>
              <w:t>0</w:t>
            </w:r>
            <w:r>
              <w:rPr>
                <w:rFonts w:hint="eastAsia"/>
                <w:kern w:val="0"/>
                <w:sz w:val="20"/>
              </w:rPr>
              <w:t>s以上</w:t>
            </w:r>
          </w:p>
        </w:tc>
      </w:tr>
    </w:tbl>
    <w:p w14:paraId="6A041832">
      <w:pPr>
        <w:pStyle w:val="44"/>
        <w:spacing w:before="156" w:after="156"/>
        <w:ind w:firstLine="420"/>
        <w:rPr>
          <w:rFonts w:cs="Times New Roman"/>
        </w:rPr>
      </w:pPr>
    </w:p>
    <w:p w14:paraId="4390FF8E">
      <w:pPr>
        <w:pStyle w:val="66"/>
        <w:numPr>
          <w:ilvl w:val="0"/>
          <w:numId w:val="0"/>
        </w:numPr>
        <w:spacing w:before="156" w:after="156"/>
        <w:rPr>
          <w:rFonts w:cs="Times New Roman"/>
          <w:b w:val="0"/>
          <w:bCs w:val="0"/>
        </w:rPr>
      </w:pPr>
      <w:r>
        <w:rPr>
          <w:rFonts w:cs="Times New Roman"/>
          <w:b w:val="0"/>
          <w:bCs w:val="0"/>
        </w:rPr>
        <w:t xml:space="preserve">5.2.3 </w:t>
      </w:r>
      <w:r>
        <w:rPr>
          <w:rFonts w:hint="eastAsia" w:cs="Times New Roman"/>
          <w:b w:val="0"/>
          <w:bCs w:val="0"/>
        </w:rPr>
        <w:t>储能变流器</w:t>
      </w:r>
    </w:p>
    <w:p w14:paraId="1114FC4B">
      <w:pPr>
        <w:pStyle w:val="44"/>
        <w:spacing w:before="156" w:after="156"/>
        <w:ind w:firstLine="420"/>
        <w:rPr>
          <w:rFonts w:cs="Times New Roman"/>
        </w:rPr>
      </w:pPr>
      <w:r>
        <w:rPr>
          <w:rFonts w:hint="eastAsia" w:cs="Times New Roman"/>
        </w:rPr>
        <w:t>对储能变流器的危险辨识应包括但不限于以下内容：</w:t>
      </w:r>
    </w:p>
    <w:p w14:paraId="17C745DF">
      <w:pPr>
        <w:pStyle w:val="76"/>
        <w:numPr>
          <w:ilvl w:val="0"/>
          <w:numId w:val="0"/>
        </w:numPr>
        <w:spacing w:before="156" w:after="156"/>
        <w:rPr>
          <w:rFonts w:cs="Times New Roman"/>
        </w:rPr>
      </w:pPr>
      <w:bookmarkStart w:id="20" w:name="_Toc31883"/>
      <w:r>
        <w:rPr>
          <w:rFonts w:hint="eastAsia" w:cs="Times New Roman"/>
        </w:rPr>
        <w:t>表3 储能变流器危险辨识内容</w:t>
      </w:r>
      <w:bookmarkEnd w:id="20"/>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2"/>
        <w:gridCol w:w="3701"/>
      </w:tblGrid>
      <w:tr w14:paraId="2E3A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00FE213F">
            <w:pPr>
              <w:pStyle w:val="44"/>
              <w:spacing w:before="0" w:beforeLines="0" w:after="0" w:afterLines="0"/>
              <w:ind w:firstLine="0" w:firstLineChars="0"/>
              <w:jc w:val="center"/>
              <w:rPr>
                <w:rFonts w:cs="Times New Roman"/>
                <w:kern w:val="0"/>
                <w:sz w:val="20"/>
              </w:rPr>
            </w:pPr>
            <w:r>
              <w:rPr>
                <w:rFonts w:hint="eastAsia" w:cs="Times New Roman"/>
                <w:kern w:val="0"/>
                <w:sz w:val="20"/>
              </w:rPr>
              <w:t>辨识内容</w:t>
            </w:r>
          </w:p>
        </w:tc>
        <w:tc>
          <w:tcPr>
            <w:tcW w:w="3701" w:type="dxa"/>
            <w:vAlign w:val="center"/>
          </w:tcPr>
          <w:p w14:paraId="26DD57E6">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r>
      <w:tr w14:paraId="5792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4855CF8">
            <w:pPr>
              <w:pStyle w:val="44"/>
              <w:spacing w:before="0" w:beforeLines="0" w:after="0" w:afterLines="0"/>
              <w:ind w:firstLine="0" w:firstLineChars="0"/>
              <w:jc w:val="center"/>
              <w:rPr>
                <w:rFonts w:cs="Times New Roman"/>
                <w:kern w:val="0"/>
                <w:sz w:val="20"/>
              </w:rPr>
            </w:pPr>
            <w:r>
              <w:rPr>
                <w:rFonts w:hint="eastAsia" w:cs="Times New Roman"/>
                <w:kern w:val="0"/>
                <w:sz w:val="20"/>
              </w:rPr>
              <w:t>工作环境条件</w:t>
            </w:r>
          </w:p>
        </w:tc>
        <w:tc>
          <w:tcPr>
            <w:tcW w:w="3701" w:type="dxa"/>
            <w:vAlign w:val="center"/>
          </w:tcPr>
          <w:p w14:paraId="2264CC62">
            <w:pPr>
              <w:pStyle w:val="44"/>
              <w:spacing w:before="0" w:beforeLines="0" w:after="0" w:afterLines="0"/>
              <w:ind w:firstLine="0" w:firstLineChars="0"/>
              <w:jc w:val="center"/>
              <w:rPr>
                <w:rFonts w:cs="Times New Roman"/>
                <w:kern w:val="0"/>
                <w:sz w:val="20"/>
              </w:rPr>
            </w:pPr>
            <w:r>
              <w:rPr>
                <w:rFonts w:hint="eastAsia" w:cs="Times New Roman"/>
                <w:kern w:val="0"/>
                <w:sz w:val="20"/>
              </w:rPr>
              <w:t>工作环境温度超出-</w:t>
            </w:r>
            <w:r>
              <w:rPr>
                <w:rFonts w:cs="Times New Roman"/>
                <w:kern w:val="0"/>
                <w:sz w:val="20"/>
              </w:rPr>
              <w:t>20</w:t>
            </w:r>
            <w:r>
              <w:rPr>
                <w:rFonts w:hint="eastAsia" w:cs="Times New Roman"/>
                <w:kern w:val="0"/>
                <w:sz w:val="20"/>
              </w:rPr>
              <w:t>℃</w:t>
            </w:r>
            <w:r>
              <w:rPr>
                <w:rFonts w:cs="Times New Roman"/>
                <w:kern w:val="0"/>
                <w:sz w:val="20"/>
              </w:rPr>
              <w:t>~60</w:t>
            </w:r>
            <w:r>
              <w:rPr>
                <w:rFonts w:hint="eastAsia" w:cs="Times New Roman"/>
                <w:kern w:val="0"/>
                <w:sz w:val="20"/>
              </w:rPr>
              <w:t>℃且时间长于1</w:t>
            </w:r>
            <w:r>
              <w:rPr>
                <w:rFonts w:cs="Times New Roman"/>
                <w:kern w:val="0"/>
                <w:sz w:val="20"/>
              </w:rPr>
              <w:t>0</w:t>
            </w:r>
            <w:r>
              <w:rPr>
                <w:rFonts w:hint="eastAsia" w:cs="Times New Roman"/>
                <w:kern w:val="0"/>
                <w:sz w:val="20"/>
              </w:rPr>
              <w:t>秒</w:t>
            </w:r>
          </w:p>
        </w:tc>
      </w:tr>
      <w:tr w14:paraId="1E69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3055E270">
            <w:pPr>
              <w:pStyle w:val="44"/>
              <w:spacing w:before="0" w:beforeLines="0" w:after="0" w:afterLines="0"/>
              <w:ind w:firstLine="0" w:firstLineChars="0"/>
              <w:jc w:val="center"/>
              <w:rPr>
                <w:rFonts w:cs="Times New Roman"/>
                <w:kern w:val="0"/>
                <w:sz w:val="20"/>
              </w:rPr>
            </w:pPr>
            <w:r>
              <w:rPr>
                <w:rFonts w:hint="eastAsia" w:cs="Times New Roman"/>
                <w:kern w:val="0"/>
                <w:sz w:val="20"/>
              </w:rPr>
              <w:t>功能</w:t>
            </w:r>
          </w:p>
        </w:tc>
        <w:tc>
          <w:tcPr>
            <w:tcW w:w="3701" w:type="dxa"/>
            <w:vAlign w:val="center"/>
          </w:tcPr>
          <w:p w14:paraId="5FADB29B">
            <w:pPr>
              <w:pStyle w:val="44"/>
              <w:spacing w:before="0" w:beforeLines="0" w:after="0" w:afterLines="0"/>
              <w:ind w:firstLine="0" w:firstLineChars="0"/>
              <w:jc w:val="center"/>
              <w:rPr>
                <w:rFonts w:cs="Times New Roman"/>
                <w:kern w:val="0"/>
                <w:sz w:val="20"/>
              </w:rPr>
            </w:pPr>
            <w:r>
              <w:rPr>
                <w:rFonts w:hint="eastAsia" w:cs="Times New Roman"/>
                <w:kern w:val="0"/>
                <w:sz w:val="20"/>
              </w:rPr>
              <w:t>充放电功能、功率控制功能、并离网切换功能异常；</w:t>
            </w:r>
          </w:p>
        </w:tc>
      </w:tr>
      <w:tr w14:paraId="32A0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6E836990">
            <w:pPr>
              <w:pStyle w:val="44"/>
              <w:spacing w:before="0" w:beforeLines="0" w:after="0" w:afterLines="0"/>
              <w:ind w:firstLine="0" w:firstLineChars="0"/>
              <w:jc w:val="center"/>
              <w:rPr>
                <w:rFonts w:cs="Times New Roman"/>
                <w:kern w:val="0"/>
                <w:sz w:val="20"/>
              </w:rPr>
            </w:pPr>
            <w:r>
              <w:rPr>
                <w:rFonts w:hint="eastAsia" w:cs="Times New Roman"/>
                <w:kern w:val="0"/>
                <w:sz w:val="20"/>
              </w:rPr>
              <w:t>通信</w:t>
            </w:r>
          </w:p>
        </w:tc>
        <w:tc>
          <w:tcPr>
            <w:tcW w:w="3701" w:type="dxa"/>
            <w:vAlign w:val="center"/>
          </w:tcPr>
          <w:p w14:paraId="555E70E9">
            <w:pPr>
              <w:pStyle w:val="44"/>
              <w:spacing w:before="0" w:beforeLines="0" w:after="0" w:afterLines="0"/>
              <w:ind w:firstLine="0" w:firstLineChars="0"/>
              <w:jc w:val="center"/>
              <w:rPr>
                <w:rFonts w:cs="Times New Roman"/>
                <w:kern w:val="0"/>
                <w:sz w:val="20"/>
              </w:rPr>
            </w:pPr>
            <w:r>
              <w:rPr>
                <w:rFonts w:hint="eastAsia" w:cs="Times New Roman"/>
                <w:kern w:val="0"/>
                <w:sz w:val="20"/>
              </w:rPr>
              <w:t>内部通信故障；外部通信故障</w:t>
            </w:r>
          </w:p>
        </w:tc>
      </w:tr>
      <w:tr w14:paraId="0317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B3C38A9">
            <w:pPr>
              <w:pStyle w:val="44"/>
              <w:spacing w:before="0" w:beforeLines="0" w:after="0" w:afterLines="0"/>
              <w:ind w:firstLine="0" w:firstLineChars="0"/>
              <w:jc w:val="center"/>
              <w:rPr>
                <w:rFonts w:cs="Times New Roman"/>
                <w:kern w:val="0"/>
                <w:sz w:val="20"/>
              </w:rPr>
            </w:pPr>
            <w:r>
              <w:rPr>
                <w:rFonts w:hint="eastAsia" w:cs="Times New Roman"/>
                <w:kern w:val="0"/>
                <w:sz w:val="20"/>
              </w:rPr>
              <w:t>输出电流、电压</w:t>
            </w:r>
          </w:p>
        </w:tc>
        <w:tc>
          <w:tcPr>
            <w:tcW w:w="3701" w:type="dxa"/>
            <w:vAlign w:val="center"/>
          </w:tcPr>
          <w:p w14:paraId="7E507234">
            <w:pPr>
              <w:pStyle w:val="44"/>
              <w:spacing w:before="0" w:beforeLines="0" w:after="0" w:afterLines="0"/>
              <w:ind w:firstLine="0" w:firstLineChars="0"/>
              <w:jc w:val="center"/>
              <w:rPr>
                <w:rFonts w:cs="Times New Roman"/>
                <w:kern w:val="0"/>
                <w:sz w:val="20"/>
              </w:rPr>
            </w:pPr>
            <w:r>
              <w:rPr>
                <w:rFonts w:hint="eastAsia" w:cs="Times New Roman"/>
                <w:kern w:val="0"/>
                <w:sz w:val="20"/>
              </w:rPr>
              <w:t>恒流模式下，输出电流稳流精度超过±1</w:t>
            </w:r>
            <w:r>
              <w:rPr>
                <w:rFonts w:cs="Times New Roman"/>
                <w:kern w:val="0"/>
                <w:sz w:val="20"/>
              </w:rPr>
              <w:t>0%</w:t>
            </w:r>
            <w:r>
              <w:rPr>
                <w:rFonts w:hint="eastAsia" w:cs="Times New Roman"/>
                <w:kern w:val="0"/>
                <w:sz w:val="20"/>
              </w:rPr>
              <w:t>；</w:t>
            </w:r>
          </w:p>
          <w:p w14:paraId="2B0F1408">
            <w:pPr>
              <w:pStyle w:val="44"/>
              <w:spacing w:before="0" w:beforeLines="0" w:after="0" w:afterLines="0"/>
              <w:ind w:firstLine="0" w:firstLineChars="0"/>
              <w:jc w:val="center"/>
              <w:rPr>
                <w:rFonts w:cs="Times New Roman"/>
                <w:kern w:val="0"/>
                <w:sz w:val="20"/>
              </w:rPr>
            </w:pPr>
            <w:r>
              <w:rPr>
                <w:rFonts w:hint="eastAsia" w:cs="Times New Roman"/>
                <w:kern w:val="0"/>
                <w:sz w:val="20"/>
              </w:rPr>
              <w:t>恒压模式下，输出电压稳流精度超过±5</w:t>
            </w:r>
            <w:r>
              <w:rPr>
                <w:rFonts w:cs="Times New Roman"/>
                <w:kern w:val="0"/>
                <w:sz w:val="20"/>
              </w:rPr>
              <w:t>%</w:t>
            </w:r>
            <w:r>
              <w:rPr>
                <w:rFonts w:hint="eastAsia" w:cs="Times New Roman"/>
                <w:kern w:val="0"/>
                <w:sz w:val="20"/>
              </w:rPr>
              <w:t>，不平衡度不超过3</w:t>
            </w:r>
            <w:r>
              <w:rPr>
                <w:rFonts w:cs="Times New Roman"/>
                <w:kern w:val="0"/>
                <w:sz w:val="20"/>
              </w:rPr>
              <w:t>%</w:t>
            </w:r>
            <w:r>
              <w:rPr>
                <w:rFonts w:hint="eastAsia" w:cs="Times New Roman"/>
                <w:kern w:val="0"/>
                <w:sz w:val="20"/>
              </w:rPr>
              <w:t>；</w:t>
            </w:r>
          </w:p>
        </w:tc>
      </w:tr>
      <w:tr w14:paraId="23FB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7B0BDD9">
            <w:pPr>
              <w:pStyle w:val="44"/>
              <w:spacing w:before="0" w:beforeLines="0" w:after="0" w:afterLines="0"/>
              <w:ind w:firstLine="0" w:firstLineChars="0"/>
              <w:jc w:val="center"/>
              <w:rPr>
                <w:rFonts w:cs="Times New Roman"/>
                <w:kern w:val="0"/>
                <w:sz w:val="20"/>
              </w:rPr>
            </w:pPr>
            <w:r>
              <w:rPr>
                <w:rFonts w:hint="eastAsia" w:cs="Times New Roman"/>
                <w:kern w:val="0"/>
                <w:sz w:val="20"/>
              </w:rPr>
              <w:t>运行噪声</w:t>
            </w:r>
          </w:p>
        </w:tc>
        <w:tc>
          <w:tcPr>
            <w:tcW w:w="3701" w:type="dxa"/>
            <w:vAlign w:val="center"/>
          </w:tcPr>
          <w:p w14:paraId="725857FE">
            <w:pPr>
              <w:pStyle w:val="44"/>
              <w:spacing w:before="0" w:beforeLines="0" w:after="0" w:afterLines="0"/>
              <w:ind w:firstLine="0" w:firstLineChars="0"/>
              <w:jc w:val="center"/>
              <w:rPr>
                <w:rFonts w:cs="Times New Roman"/>
                <w:kern w:val="0"/>
                <w:sz w:val="20"/>
              </w:rPr>
            </w:pPr>
            <w:r>
              <w:rPr>
                <w:rFonts w:hint="eastAsia" w:cs="Times New Roman"/>
                <w:kern w:val="0"/>
                <w:sz w:val="20"/>
              </w:rPr>
              <w:t>正常运行噪声超过7</w:t>
            </w:r>
            <w:r>
              <w:rPr>
                <w:rFonts w:cs="Times New Roman"/>
                <w:kern w:val="0"/>
                <w:sz w:val="20"/>
              </w:rPr>
              <w:t>0</w:t>
            </w:r>
            <w:r>
              <w:rPr>
                <w:rFonts w:hint="eastAsia" w:cs="Times New Roman"/>
                <w:kern w:val="0"/>
                <w:sz w:val="20"/>
              </w:rPr>
              <w:t>d</w:t>
            </w:r>
            <w:r>
              <w:rPr>
                <w:rFonts w:cs="Times New Roman"/>
                <w:kern w:val="0"/>
                <w:sz w:val="20"/>
              </w:rPr>
              <w:t>B</w:t>
            </w:r>
          </w:p>
        </w:tc>
      </w:tr>
      <w:tr w14:paraId="5A12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F6D5560">
            <w:pPr>
              <w:pStyle w:val="44"/>
              <w:spacing w:before="0" w:beforeLines="0" w:after="0" w:afterLines="0"/>
              <w:ind w:firstLine="0" w:firstLineChars="0"/>
              <w:jc w:val="center"/>
              <w:rPr>
                <w:rFonts w:cs="Times New Roman"/>
                <w:kern w:val="0"/>
                <w:sz w:val="20"/>
              </w:rPr>
            </w:pPr>
            <w:r>
              <w:rPr>
                <w:rFonts w:hint="eastAsia" w:cs="Times New Roman"/>
                <w:kern w:val="0"/>
                <w:sz w:val="20"/>
              </w:rPr>
              <w:t>绝缘电阻</w:t>
            </w:r>
          </w:p>
        </w:tc>
        <w:tc>
          <w:tcPr>
            <w:tcW w:w="3701" w:type="dxa"/>
            <w:vAlign w:val="center"/>
          </w:tcPr>
          <w:p w14:paraId="59A43008">
            <w:pPr>
              <w:pStyle w:val="44"/>
              <w:spacing w:before="0" w:beforeLines="0" w:after="0" w:afterLines="0"/>
              <w:ind w:firstLine="0" w:firstLineChars="0"/>
              <w:jc w:val="center"/>
              <w:rPr>
                <w:rFonts w:cs="Times New Roman"/>
                <w:kern w:val="0"/>
                <w:sz w:val="20"/>
              </w:rPr>
            </w:pPr>
            <w:r>
              <w:rPr>
                <w:rFonts w:hint="eastAsia" w:cs="Times New Roman"/>
                <w:kern w:val="0"/>
                <w:sz w:val="20"/>
              </w:rPr>
              <w:t>绝缘电阻小于0</w:t>
            </w:r>
            <w:r>
              <w:rPr>
                <w:rFonts w:cs="Times New Roman"/>
                <w:kern w:val="0"/>
                <w:sz w:val="20"/>
              </w:rPr>
              <w:t>.5M</w:t>
            </w:r>
            <w:r>
              <w:rPr>
                <w:rFonts w:hint="eastAsia" w:cs="Times New Roman"/>
                <w:kern w:val="0"/>
                <w:sz w:val="20"/>
              </w:rPr>
              <w:t>Ω</w:t>
            </w:r>
          </w:p>
        </w:tc>
      </w:tr>
      <w:tr w14:paraId="35E1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3BCDF2C6">
            <w:pPr>
              <w:pStyle w:val="44"/>
              <w:spacing w:before="0" w:beforeLines="0" w:after="0" w:afterLines="0"/>
              <w:ind w:firstLine="0" w:firstLineChars="0"/>
              <w:jc w:val="center"/>
              <w:rPr>
                <w:rFonts w:cs="Times New Roman"/>
                <w:kern w:val="0"/>
                <w:sz w:val="20"/>
              </w:rPr>
            </w:pPr>
            <w:r>
              <w:rPr>
                <w:rFonts w:hint="eastAsia" w:cs="Times New Roman"/>
                <w:kern w:val="0"/>
                <w:sz w:val="20"/>
              </w:rPr>
              <w:t>子系统</w:t>
            </w:r>
          </w:p>
        </w:tc>
        <w:tc>
          <w:tcPr>
            <w:tcW w:w="3701" w:type="dxa"/>
            <w:vAlign w:val="center"/>
          </w:tcPr>
          <w:p w14:paraId="5A6B332B">
            <w:pPr>
              <w:pStyle w:val="44"/>
              <w:spacing w:before="0" w:beforeLines="0" w:after="0" w:afterLines="0"/>
              <w:ind w:firstLine="0" w:firstLineChars="0"/>
              <w:jc w:val="center"/>
              <w:rPr>
                <w:rFonts w:cs="Times New Roman"/>
                <w:kern w:val="0"/>
                <w:sz w:val="20"/>
              </w:rPr>
            </w:pPr>
            <w:r>
              <w:rPr>
                <w:rFonts w:hint="eastAsia" w:cs="Times New Roman"/>
                <w:kern w:val="0"/>
                <w:sz w:val="20"/>
              </w:rPr>
              <w:t>通风系统故障；</w:t>
            </w:r>
          </w:p>
          <w:p w14:paraId="53E391A9">
            <w:pPr>
              <w:pStyle w:val="44"/>
              <w:spacing w:before="0" w:beforeLines="0" w:after="0" w:afterLines="0"/>
              <w:ind w:firstLine="0" w:firstLineChars="0"/>
              <w:jc w:val="center"/>
              <w:rPr>
                <w:rFonts w:cs="Times New Roman"/>
                <w:kern w:val="0"/>
                <w:sz w:val="20"/>
              </w:rPr>
            </w:pPr>
            <w:r>
              <w:rPr>
                <w:rFonts w:hint="eastAsia" w:cs="Times New Roman"/>
                <w:kern w:val="0"/>
                <w:sz w:val="20"/>
              </w:rPr>
              <w:t>冷却系统故障；</w:t>
            </w:r>
          </w:p>
          <w:p w14:paraId="7A8DE96B">
            <w:pPr>
              <w:pStyle w:val="44"/>
              <w:spacing w:before="0" w:beforeLines="0" w:after="0" w:afterLines="0"/>
              <w:ind w:firstLine="0" w:firstLineChars="0"/>
              <w:jc w:val="center"/>
              <w:rPr>
                <w:rFonts w:cs="Times New Roman"/>
                <w:kern w:val="0"/>
                <w:sz w:val="20"/>
              </w:rPr>
            </w:pPr>
            <w:r>
              <w:rPr>
                <w:rFonts w:hint="eastAsia" w:cs="Times New Roman"/>
                <w:kern w:val="0"/>
                <w:sz w:val="20"/>
              </w:rPr>
              <w:t>安全保护系统故障</w:t>
            </w:r>
          </w:p>
        </w:tc>
      </w:tr>
    </w:tbl>
    <w:p w14:paraId="6512B40F">
      <w:pPr>
        <w:pStyle w:val="44"/>
        <w:spacing w:before="156" w:after="156"/>
        <w:ind w:firstLine="420"/>
        <w:rPr>
          <w:rFonts w:cs="Times New Roman"/>
        </w:rPr>
      </w:pPr>
    </w:p>
    <w:p w14:paraId="2EBF93B6">
      <w:pPr>
        <w:pStyle w:val="66"/>
        <w:numPr>
          <w:ilvl w:val="0"/>
          <w:numId w:val="0"/>
        </w:numPr>
        <w:spacing w:before="156" w:after="156"/>
        <w:rPr>
          <w:rFonts w:cs="Times New Roman"/>
          <w:b w:val="0"/>
          <w:bCs w:val="0"/>
        </w:rPr>
      </w:pPr>
      <w:r>
        <w:rPr>
          <w:rFonts w:cs="Times New Roman"/>
          <w:b w:val="0"/>
          <w:bCs w:val="0"/>
        </w:rPr>
        <w:t xml:space="preserve">5.2.4 </w:t>
      </w:r>
      <w:r>
        <w:rPr>
          <w:rFonts w:hint="eastAsia" w:cs="Times New Roman"/>
          <w:b w:val="0"/>
          <w:bCs w:val="0"/>
        </w:rPr>
        <w:t>变压器及高低压柜</w:t>
      </w:r>
    </w:p>
    <w:p w14:paraId="66B50F90">
      <w:pPr>
        <w:pStyle w:val="44"/>
        <w:spacing w:before="156" w:after="156"/>
        <w:ind w:firstLine="420"/>
        <w:rPr>
          <w:rFonts w:cs="Times New Roman"/>
        </w:rPr>
      </w:pPr>
      <w:r>
        <w:rPr>
          <w:rFonts w:hint="eastAsia" w:cs="Times New Roman"/>
        </w:rPr>
        <w:t>对变压器及高低压柜的危险辨识应包括但不限于以下内容：</w:t>
      </w:r>
    </w:p>
    <w:p w14:paraId="3AC33146">
      <w:pPr>
        <w:pStyle w:val="76"/>
        <w:numPr>
          <w:ilvl w:val="0"/>
          <w:numId w:val="0"/>
        </w:numPr>
        <w:spacing w:before="156" w:after="156"/>
        <w:rPr>
          <w:rFonts w:cs="Times New Roman"/>
        </w:rPr>
      </w:pPr>
      <w:bookmarkStart w:id="21" w:name="_Toc23624"/>
      <w:r>
        <w:rPr>
          <w:rFonts w:hint="eastAsia" w:cs="Times New Roman"/>
        </w:rPr>
        <w:t>表4 变压器及高低压柜危险辨识内容</w:t>
      </w:r>
      <w:bookmarkEnd w:id="21"/>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2"/>
        <w:gridCol w:w="3701"/>
      </w:tblGrid>
      <w:tr w14:paraId="71DA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CE8B5C9">
            <w:pPr>
              <w:pStyle w:val="44"/>
              <w:spacing w:before="0" w:beforeLines="0" w:after="0" w:afterLines="0"/>
              <w:ind w:firstLine="0" w:firstLineChars="0"/>
              <w:jc w:val="center"/>
              <w:rPr>
                <w:rFonts w:cs="Times New Roman"/>
                <w:kern w:val="0"/>
                <w:sz w:val="20"/>
              </w:rPr>
            </w:pPr>
            <w:r>
              <w:rPr>
                <w:rFonts w:hint="eastAsia" w:cs="Times New Roman"/>
                <w:kern w:val="0"/>
                <w:sz w:val="20"/>
              </w:rPr>
              <w:t>辨识内容</w:t>
            </w:r>
          </w:p>
        </w:tc>
        <w:tc>
          <w:tcPr>
            <w:tcW w:w="3701" w:type="dxa"/>
            <w:vAlign w:val="center"/>
          </w:tcPr>
          <w:p w14:paraId="39680418">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r>
      <w:tr w14:paraId="48E1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6135CE3D">
            <w:pPr>
              <w:pStyle w:val="44"/>
              <w:spacing w:before="0" w:beforeLines="0" w:after="0" w:afterLines="0"/>
              <w:ind w:firstLine="0" w:firstLineChars="0"/>
              <w:jc w:val="center"/>
              <w:rPr>
                <w:rFonts w:cs="Times New Roman"/>
                <w:kern w:val="0"/>
                <w:sz w:val="20"/>
              </w:rPr>
            </w:pPr>
            <w:r>
              <w:rPr>
                <w:rFonts w:hint="eastAsia" w:cs="Times New Roman"/>
                <w:kern w:val="0"/>
                <w:sz w:val="20"/>
              </w:rPr>
              <w:t>安全保护措施</w:t>
            </w:r>
          </w:p>
        </w:tc>
        <w:tc>
          <w:tcPr>
            <w:tcW w:w="3701" w:type="dxa"/>
            <w:vAlign w:val="center"/>
          </w:tcPr>
          <w:p w14:paraId="2BBACCBD">
            <w:pPr>
              <w:pStyle w:val="44"/>
              <w:spacing w:before="0" w:beforeLines="0" w:after="0" w:afterLines="0"/>
              <w:ind w:firstLine="0" w:firstLineChars="0"/>
              <w:jc w:val="center"/>
              <w:rPr>
                <w:rFonts w:cs="Times New Roman"/>
                <w:kern w:val="0"/>
                <w:sz w:val="20"/>
              </w:rPr>
            </w:pPr>
            <w:r>
              <w:rPr>
                <w:rFonts w:hint="eastAsia" w:cs="Times New Roman"/>
                <w:kern w:val="0"/>
                <w:sz w:val="20"/>
              </w:rPr>
              <w:t>短路保护措施失效；</w:t>
            </w:r>
          </w:p>
          <w:p w14:paraId="3F5343B0">
            <w:pPr>
              <w:pStyle w:val="44"/>
              <w:spacing w:before="0" w:beforeLines="0" w:after="0" w:afterLines="0"/>
              <w:ind w:firstLine="0" w:firstLineChars="0"/>
              <w:jc w:val="center"/>
              <w:rPr>
                <w:rFonts w:cs="Times New Roman"/>
                <w:kern w:val="0"/>
                <w:sz w:val="20"/>
              </w:rPr>
            </w:pPr>
            <w:r>
              <w:rPr>
                <w:rFonts w:hint="eastAsia" w:cs="Times New Roman"/>
                <w:kern w:val="0"/>
                <w:sz w:val="20"/>
              </w:rPr>
              <w:t>电磁辐射屏蔽措施失效；</w:t>
            </w:r>
          </w:p>
          <w:p w14:paraId="3802B375">
            <w:pPr>
              <w:pStyle w:val="44"/>
              <w:spacing w:before="0" w:beforeLines="0" w:after="0" w:afterLines="0"/>
              <w:ind w:firstLine="0" w:firstLineChars="0"/>
              <w:jc w:val="center"/>
              <w:rPr>
                <w:rFonts w:cs="Times New Roman"/>
                <w:kern w:val="0"/>
                <w:sz w:val="20"/>
              </w:rPr>
            </w:pPr>
            <w:r>
              <w:rPr>
                <w:rFonts w:hint="eastAsia" w:cs="Times New Roman"/>
                <w:kern w:val="0"/>
                <w:sz w:val="20"/>
              </w:rPr>
              <w:t>密封失效，绝缘气体泄漏；</w:t>
            </w:r>
          </w:p>
          <w:p w14:paraId="0549102D">
            <w:pPr>
              <w:pStyle w:val="44"/>
              <w:spacing w:before="0" w:beforeLines="0" w:after="0" w:afterLines="0"/>
              <w:ind w:firstLine="0" w:firstLineChars="0"/>
              <w:jc w:val="center"/>
              <w:rPr>
                <w:rFonts w:cs="Times New Roman"/>
                <w:kern w:val="0"/>
                <w:sz w:val="20"/>
              </w:rPr>
            </w:pPr>
            <w:r>
              <w:rPr>
                <w:rFonts w:hint="eastAsia" w:cs="Times New Roman"/>
                <w:kern w:val="0"/>
                <w:sz w:val="20"/>
              </w:rPr>
              <w:t>绝缘损坏，局部放电</w:t>
            </w:r>
          </w:p>
        </w:tc>
      </w:tr>
      <w:tr w14:paraId="5C31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7EC66DA8">
            <w:pPr>
              <w:pStyle w:val="44"/>
              <w:spacing w:before="0" w:beforeLines="0" w:after="0" w:afterLines="0"/>
              <w:ind w:firstLine="0" w:firstLineChars="0"/>
              <w:jc w:val="center"/>
              <w:rPr>
                <w:rFonts w:cs="Times New Roman"/>
                <w:kern w:val="0"/>
                <w:sz w:val="20"/>
              </w:rPr>
            </w:pPr>
            <w:r>
              <w:rPr>
                <w:rFonts w:hint="eastAsia" w:cs="Times New Roman"/>
                <w:kern w:val="0"/>
                <w:sz w:val="20"/>
              </w:rPr>
              <w:t>运行状态</w:t>
            </w:r>
          </w:p>
        </w:tc>
        <w:tc>
          <w:tcPr>
            <w:tcW w:w="3701" w:type="dxa"/>
            <w:vAlign w:val="center"/>
          </w:tcPr>
          <w:p w14:paraId="7FBC869F">
            <w:pPr>
              <w:pStyle w:val="44"/>
              <w:spacing w:before="0" w:beforeLines="0" w:after="0" w:afterLines="0"/>
              <w:ind w:firstLine="0" w:firstLineChars="0"/>
              <w:jc w:val="center"/>
              <w:rPr>
                <w:rFonts w:cs="Times New Roman"/>
                <w:kern w:val="0"/>
                <w:sz w:val="20"/>
              </w:rPr>
            </w:pPr>
            <w:r>
              <w:rPr>
                <w:rFonts w:hint="eastAsia" w:cs="Times New Roman"/>
                <w:kern w:val="0"/>
                <w:sz w:val="20"/>
              </w:rPr>
              <w:t>负载超过额定负载最大值1</w:t>
            </w:r>
            <w:r>
              <w:rPr>
                <w:rFonts w:cs="Times New Roman"/>
                <w:kern w:val="0"/>
                <w:sz w:val="20"/>
              </w:rPr>
              <w:t>0%</w:t>
            </w:r>
            <w:r>
              <w:rPr>
                <w:rFonts w:hint="eastAsia" w:cs="Times New Roman"/>
                <w:kern w:val="0"/>
                <w:sz w:val="20"/>
              </w:rPr>
              <w:t>且时长超过1</w:t>
            </w:r>
            <w:r>
              <w:rPr>
                <w:rFonts w:cs="Times New Roman"/>
                <w:kern w:val="0"/>
                <w:sz w:val="20"/>
              </w:rPr>
              <w:t>0</w:t>
            </w:r>
            <w:r>
              <w:rPr>
                <w:rFonts w:hint="eastAsia" w:cs="Times New Roman"/>
                <w:kern w:val="0"/>
                <w:sz w:val="20"/>
              </w:rPr>
              <w:t>秒；</w:t>
            </w:r>
          </w:p>
          <w:p w14:paraId="75EB7759">
            <w:pPr>
              <w:pStyle w:val="44"/>
              <w:spacing w:before="0" w:beforeLines="0" w:after="0" w:afterLines="0"/>
              <w:ind w:firstLine="0" w:firstLineChars="0"/>
              <w:jc w:val="center"/>
              <w:rPr>
                <w:rFonts w:cs="Times New Roman"/>
                <w:kern w:val="0"/>
                <w:sz w:val="20"/>
              </w:rPr>
            </w:pPr>
            <w:r>
              <w:rPr>
                <w:rFonts w:hint="eastAsia" w:cs="Times New Roman"/>
                <w:kern w:val="0"/>
                <w:sz w:val="20"/>
              </w:rPr>
              <w:t>内部短路/断路；</w:t>
            </w:r>
          </w:p>
        </w:tc>
      </w:tr>
      <w:tr w14:paraId="44FA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B19B133">
            <w:pPr>
              <w:pStyle w:val="44"/>
              <w:spacing w:before="0" w:beforeLines="0" w:after="0" w:afterLines="0"/>
              <w:ind w:firstLine="0" w:firstLineChars="0"/>
              <w:jc w:val="center"/>
              <w:rPr>
                <w:rFonts w:cs="Times New Roman"/>
                <w:kern w:val="0"/>
                <w:sz w:val="20"/>
              </w:rPr>
            </w:pPr>
            <w:r>
              <w:rPr>
                <w:rFonts w:hint="eastAsia" w:cs="Times New Roman"/>
                <w:kern w:val="0"/>
                <w:sz w:val="20"/>
              </w:rPr>
              <w:t>通信</w:t>
            </w:r>
          </w:p>
        </w:tc>
        <w:tc>
          <w:tcPr>
            <w:tcW w:w="3701" w:type="dxa"/>
            <w:vAlign w:val="center"/>
          </w:tcPr>
          <w:p w14:paraId="60E8BCDD">
            <w:pPr>
              <w:pStyle w:val="44"/>
              <w:spacing w:before="0" w:beforeLines="0" w:after="0" w:afterLines="0"/>
              <w:ind w:firstLine="0" w:firstLineChars="0"/>
              <w:jc w:val="center"/>
              <w:rPr>
                <w:rFonts w:cs="Times New Roman"/>
                <w:kern w:val="0"/>
                <w:sz w:val="20"/>
              </w:rPr>
            </w:pPr>
            <w:r>
              <w:rPr>
                <w:rFonts w:hint="eastAsia" w:cs="Times New Roman"/>
                <w:kern w:val="0"/>
                <w:sz w:val="20"/>
              </w:rPr>
              <w:t>内部通信故障；外部通信故障</w:t>
            </w:r>
          </w:p>
        </w:tc>
      </w:tr>
      <w:tr w14:paraId="7D28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2" w:type="dxa"/>
            <w:vAlign w:val="center"/>
          </w:tcPr>
          <w:p w14:paraId="505A1C62">
            <w:pPr>
              <w:pStyle w:val="44"/>
              <w:spacing w:before="0" w:beforeLines="0" w:after="0" w:afterLines="0"/>
              <w:ind w:firstLine="0" w:firstLineChars="0"/>
              <w:jc w:val="center"/>
              <w:rPr>
                <w:rFonts w:cs="Times New Roman"/>
                <w:kern w:val="0"/>
                <w:sz w:val="20"/>
              </w:rPr>
            </w:pPr>
            <w:r>
              <w:rPr>
                <w:rFonts w:hint="eastAsia" w:cs="Times New Roman"/>
                <w:kern w:val="0"/>
                <w:sz w:val="20"/>
              </w:rPr>
              <w:t>运行噪声</w:t>
            </w:r>
          </w:p>
        </w:tc>
        <w:tc>
          <w:tcPr>
            <w:tcW w:w="3701" w:type="dxa"/>
            <w:vAlign w:val="center"/>
          </w:tcPr>
          <w:p w14:paraId="0A8E13CE">
            <w:pPr>
              <w:pStyle w:val="44"/>
              <w:spacing w:before="0" w:beforeLines="0" w:after="0" w:afterLines="0"/>
              <w:ind w:firstLine="0" w:firstLineChars="0"/>
              <w:jc w:val="center"/>
              <w:rPr>
                <w:rFonts w:cs="Times New Roman"/>
                <w:kern w:val="0"/>
                <w:sz w:val="20"/>
              </w:rPr>
            </w:pPr>
            <w:r>
              <w:rPr>
                <w:rFonts w:hint="eastAsia" w:cs="Times New Roman"/>
                <w:kern w:val="0"/>
                <w:sz w:val="20"/>
              </w:rPr>
              <w:t>正常运行噪声超过7</w:t>
            </w:r>
            <w:r>
              <w:rPr>
                <w:rFonts w:cs="Times New Roman"/>
                <w:kern w:val="0"/>
                <w:sz w:val="20"/>
              </w:rPr>
              <w:t>0</w:t>
            </w:r>
            <w:r>
              <w:rPr>
                <w:rFonts w:hint="eastAsia" w:cs="Times New Roman"/>
                <w:kern w:val="0"/>
                <w:sz w:val="20"/>
              </w:rPr>
              <w:t>d</w:t>
            </w:r>
            <w:r>
              <w:rPr>
                <w:rFonts w:cs="Times New Roman"/>
                <w:kern w:val="0"/>
                <w:sz w:val="20"/>
              </w:rPr>
              <w:t>B</w:t>
            </w:r>
          </w:p>
        </w:tc>
      </w:tr>
      <w:tr w14:paraId="5050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2852" w:type="dxa"/>
            <w:vAlign w:val="center"/>
          </w:tcPr>
          <w:p w14:paraId="3C40F4BA">
            <w:pPr>
              <w:pStyle w:val="44"/>
              <w:spacing w:before="156" w:after="156"/>
              <w:ind w:firstLine="0" w:firstLineChars="0"/>
              <w:jc w:val="center"/>
              <w:rPr>
                <w:rFonts w:cs="Times New Roman"/>
                <w:kern w:val="0"/>
                <w:sz w:val="20"/>
              </w:rPr>
            </w:pPr>
            <w:r>
              <w:rPr>
                <w:rFonts w:hint="eastAsia" w:cs="Times New Roman"/>
                <w:kern w:val="0"/>
                <w:sz w:val="20"/>
              </w:rPr>
              <w:t>子系统</w:t>
            </w:r>
          </w:p>
        </w:tc>
        <w:tc>
          <w:tcPr>
            <w:tcW w:w="3701" w:type="dxa"/>
            <w:vAlign w:val="center"/>
          </w:tcPr>
          <w:p w14:paraId="28EF3FAA">
            <w:pPr>
              <w:pStyle w:val="44"/>
              <w:spacing w:before="0" w:beforeLines="0" w:after="0" w:afterLines="0"/>
              <w:ind w:firstLine="0" w:firstLineChars="0"/>
              <w:jc w:val="center"/>
              <w:rPr>
                <w:rFonts w:cs="Times New Roman"/>
                <w:kern w:val="0"/>
                <w:sz w:val="20"/>
              </w:rPr>
            </w:pPr>
            <w:r>
              <w:rPr>
                <w:rFonts w:hint="eastAsia" w:cs="Times New Roman"/>
                <w:kern w:val="0"/>
                <w:sz w:val="20"/>
              </w:rPr>
              <w:t>通风系统故障；</w:t>
            </w:r>
          </w:p>
          <w:p w14:paraId="579EACA8">
            <w:pPr>
              <w:pStyle w:val="44"/>
              <w:spacing w:before="0" w:beforeLines="0" w:after="0" w:afterLines="0"/>
              <w:ind w:firstLine="0" w:firstLineChars="0"/>
              <w:jc w:val="center"/>
              <w:rPr>
                <w:rFonts w:cs="Times New Roman"/>
                <w:kern w:val="0"/>
                <w:sz w:val="20"/>
              </w:rPr>
            </w:pPr>
            <w:r>
              <w:rPr>
                <w:rFonts w:hint="eastAsia" w:cs="Times New Roman"/>
                <w:kern w:val="0"/>
                <w:sz w:val="20"/>
              </w:rPr>
              <w:t>冷却系统故障；</w:t>
            </w:r>
          </w:p>
          <w:p w14:paraId="78E23AF0">
            <w:pPr>
              <w:pStyle w:val="44"/>
              <w:spacing w:before="0" w:beforeLines="0" w:after="0" w:afterLines="0"/>
              <w:ind w:firstLine="0" w:firstLineChars="0"/>
              <w:jc w:val="center"/>
              <w:rPr>
                <w:rFonts w:cs="Times New Roman"/>
                <w:kern w:val="0"/>
                <w:sz w:val="20"/>
              </w:rPr>
            </w:pPr>
            <w:r>
              <w:rPr>
                <w:rFonts w:hint="eastAsia" w:cs="Times New Roman"/>
                <w:kern w:val="0"/>
                <w:sz w:val="20"/>
              </w:rPr>
              <w:t>绝缘保护系统故障</w:t>
            </w:r>
          </w:p>
        </w:tc>
      </w:tr>
    </w:tbl>
    <w:p w14:paraId="7531D6AD">
      <w:pPr>
        <w:pStyle w:val="66"/>
        <w:numPr>
          <w:ilvl w:val="0"/>
          <w:numId w:val="0"/>
        </w:numPr>
        <w:spacing w:before="156" w:after="156"/>
        <w:rPr>
          <w:rFonts w:cs="Times New Roman"/>
          <w:b w:val="0"/>
          <w:bCs w:val="0"/>
        </w:rPr>
      </w:pPr>
      <w:r>
        <w:rPr>
          <w:rFonts w:cs="Times New Roman"/>
          <w:b w:val="0"/>
          <w:bCs w:val="0"/>
        </w:rPr>
        <w:t xml:space="preserve">5.2.5 </w:t>
      </w:r>
      <w:r>
        <w:rPr>
          <w:rFonts w:hint="eastAsia" w:cs="Times New Roman"/>
          <w:b w:val="0"/>
          <w:bCs w:val="0"/>
        </w:rPr>
        <w:t>环境因素</w:t>
      </w:r>
    </w:p>
    <w:p w14:paraId="6F9ED5BA">
      <w:pPr>
        <w:pStyle w:val="44"/>
        <w:spacing w:before="156" w:after="156"/>
        <w:ind w:firstLine="420"/>
        <w:rPr>
          <w:rFonts w:cs="Times New Roman"/>
        </w:rPr>
      </w:pPr>
      <w:r>
        <w:rPr>
          <w:rFonts w:hint="eastAsia" w:cs="Times New Roman"/>
        </w:rPr>
        <w:t>对环境因素的危险辨识应包括但不限于以下内容：</w:t>
      </w:r>
    </w:p>
    <w:p w14:paraId="54C5AA61">
      <w:pPr>
        <w:pStyle w:val="44"/>
        <w:spacing w:before="156" w:after="156"/>
        <w:ind w:firstLine="420"/>
        <w:rPr>
          <w:rFonts w:cs="Times New Roman"/>
        </w:rPr>
      </w:pPr>
      <w:r>
        <w:rPr>
          <w:rFonts w:hint="eastAsia" w:cs="Times New Roman"/>
        </w:rPr>
        <w:t>（a）存在火源；</w:t>
      </w:r>
    </w:p>
    <w:p w14:paraId="39512132">
      <w:pPr>
        <w:pStyle w:val="44"/>
        <w:spacing w:before="156" w:after="156"/>
        <w:ind w:firstLine="420"/>
        <w:rPr>
          <w:rFonts w:cs="Times New Roman"/>
        </w:rPr>
      </w:pPr>
      <w:r>
        <w:rPr>
          <w:rFonts w:hint="eastAsia" w:cs="Times New Roman"/>
        </w:rPr>
        <w:t>（b）存在高磁设备；</w:t>
      </w:r>
    </w:p>
    <w:p w14:paraId="29CB38E3">
      <w:pPr>
        <w:pStyle w:val="44"/>
        <w:spacing w:before="156" w:after="156"/>
        <w:ind w:firstLine="420"/>
        <w:rPr>
          <w:rFonts w:cs="Times New Roman"/>
        </w:rPr>
      </w:pPr>
      <w:r>
        <w:rPr>
          <w:rFonts w:hint="eastAsia" w:cs="Times New Roman"/>
        </w:rPr>
        <w:t>（c）存在高电压、电流设备；</w:t>
      </w:r>
    </w:p>
    <w:p w14:paraId="1ABDD46D">
      <w:pPr>
        <w:pStyle w:val="44"/>
        <w:spacing w:before="156" w:after="156"/>
        <w:ind w:firstLine="420"/>
        <w:rPr>
          <w:rFonts w:cs="Times New Roman"/>
        </w:rPr>
      </w:pPr>
      <w:r>
        <w:rPr>
          <w:rFonts w:hint="eastAsia" w:cs="Times New Roman"/>
        </w:rPr>
        <w:t>（d）存在其他易燃、易爆、腐蚀性风险源；</w:t>
      </w:r>
    </w:p>
    <w:p w14:paraId="135279C2">
      <w:pPr>
        <w:pStyle w:val="44"/>
        <w:spacing w:before="156" w:after="156"/>
        <w:ind w:firstLine="420"/>
        <w:rPr>
          <w:rFonts w:cs="Times New Roman"/>
        </w:rPr>
      </w:pPr>
      <w:r>
        <w:rPr>
          <w:rFonts w:hint="eastAsia" w:cs="Times New Roman"/>
        </w:rPr>
        <w:t>（e）存在未做好安全防护的作业人员；</w:t>
      </w:r>
    </w:p>
    <w:p w14:paraId="753DD012">
      <w:pPr>
        <w:pStyle w:val="44"/>
        <w:spacing w:before="156" w:after="156"/>
        <w:ind w:firstLine="420"/>
        <w:rPr>
          <w:rFonts w:cs="Times New Roman"/>
        </w:rPr>
      </w:pPr>
      <w:r>
        <w:rPr>
          <w:rFonts w:hint="eastAsia" w:cs="Times New Roman"/>
        </w:rPr>
        <w:t>（f）作业人员未按规定流程作业。</w:t>
      </w:r>
    </w:p>
    <w:p w14:paraId="3FB6A050">
      <w:pPr>
        <w:pStyle w:val="66"/>
        <w:numPr>
          <w:ilvl w:val="0"/>
          <w:numId w:val="0"/>
        </w:numPr>
        <w:spacing w:before="156" w:after="156"/>
        <w:rPr>
          <w:rFonts w:cs="Times New Roman"/>
          <w:b w:val="0"/>
          <w:bCs w:val="0"/>
        </w:rPr>
      </w:pPr>
      <w:r>
        <w:rPr>
          <w:rFonts w:cs="Times New Roman"/>
          <w:b w:val="0"/>
          <w:bCs w:val="0"/>
        </w:rPr>
        <w:t xml:space="preserve">5.2.6 </w:t>
      </w:r>
      <w:r>
        <w:rPr>
          <w:rFonts w:hint="eastAsia" w:cs="Times New Roman"/>
          <w:b w:val="0"/>
          <w:bCs w:val="0"/>
        </w:rPr>
        <w:t>消防设施</w:t>
      </w:r>
    </w:p>
    <w:p w14:paraId="69284238">
      <w:pPr>
        <w:pStyle w:val="44"/>
        <w:spacing w:before="156" w:after="156"/>
        <w:ind w:firstLine="420"/>
        <w:rPr>
          <w:rFonts w:cs="Times New Roman"/>
        </w:rPr>
      </w:pPr>
      <w:r>
        <w:rPr>
          <w:rFonts w:hint="eastAsia" w:cs="Times New Roman"/>
        </w:rPr>
        <w:t>对消防设施的危险辨识应包括但不限于以下内容：</w:t>
      </w:r>
    </w:p>
    <w:p w14:paraId="4F153F7B">
      <w:pPr>
        <w:pStyle w:val="44"/>
        <w:spacing w:before="156" w:after="156"/>
        <w:ind w:firstLine="420"/>
        <w:rPr>
          <w:rFonts w:cs="Times New Roman"/>
        </w:rPr>
      </w:pPr>
      <w:r>
        <w:rPr>
          <w:rFonts w:hint="eastAsia" w:cs="Times New Roman"/>
        </w:rPr>
        <w:t>（a）消防设施不齐全或参数设计不当；</w:t>
      </w:r>
    </w:p>
    <w:p w14:paraId="62751820">
      <w:pPr>
        <w:pStyle w:val="44"/>
        <w:spacing w:before="156" w:after="156"/>
        <w:ind w:firstLine="420"/>
        <w:rPr>
          <w:rFonts w:cs="Times New Roman"/>
        </w:rPr>
      </w:pPr>
      <w:r>
        <w:rPr>
          <w:rFonts w:hint="eastAsia" w:cs="Times New Roman"/>
        </w:rPr>
        <w:t>（b）消防物资未在合格的检定周期内或损坏；</w:t>
      </w:r>
    </w:p>
    <w:p w14:paraId="39928899">
      <w:pPr>
        <w:pStyle w:val="44"/>
        <w:spacing w:before="156" w:after="156"/>
        <w:ind w:firstLine="420"/>
        <w:rPr>
          <w:rFonts w:cs="Times New Roman"/>
        </w:rPr>
      </w:pPr>
      <w:r>
        <w:rPr>
          <w:rFonts w:hint="eastAsia" w:cs="Times New Roman"/>
        </w:rPr>
        <w:t>（c）电池周围未设置可燃、有毒气体探测装置；</w:t>
      </w:r>
    </w:p>
    <w:p w14:paraId="0517048C">
      <w:pPr>
        <w:pStyle w:val="44"/>
        <w:spacing w:before="156" w:after="156"/>
        <w:ind w:firstLine="420"/>
        <w:rPr>
          <w:rFonts w:cs="Times New Roman"/>
        </w:rPr>
      </w:pPr>
      <w:r>
        <w:rPr>
          <w:rFonts w:hint="eastAsia" w:cs="Times New Roman"/>
        </w:rPr>
        <w:t>（d）排风系统与可燃气体探测主机缺少联动；</w:t>
      </w:r>
    </w:p>
    <w:p w14:paraId="465E6A04">
      <w:pPr>
        <w:pStyle w:val="44"/>
        <w:spacing w:before="156" w:after="156"/>
        <w:ind w:firstLine="420"/>
        <w:rPr>
          <w:rFonts w:cs="Times New Roman"/>
        </w:rPr>
      </w:pPr>
      <w:r>
        <w:rPr>
          <w:rFonts w:hint="eastAsia" w:cs="Times New Roman"/>
        </w:rPr>
        <w:t>（e）消防系统无独立备用电源；</w:t>
      </w:r>
    </w:p>
    <w:p w14:paraId="2E430667">
      <w:pPr>
        <w:pStyle w:val="44"/>
        <w:spacing w:before="156" w:after="156"/>
        <w:ind w:firstLine="420"/>
        <w:rPr>
          <w:rFonts w:cs="Times New Roman"/>
        </w:rPr>
      </w:pPr>
      <w:r>
        <w:rPr>
          <w:rFonts w:hint="eastAsia" w:cs="Times New Roman"/>
        </w:rPr>
        <w:t>（f）储能设备间防火间距不足；</w:t>
      </w:r>
    </w:p>
    <w:p w14:paraId="62AE6960">
      <w:pPr>
        <w:pStyle w:val="44"/>
        <w:spacing w:before="156" w:after="156"/>
        <w:ind w:firstLine="420"/>
        <w:rPr>
          <w:rFonts w:cs="Times New Roman"/>
        </w:rPr>
      </w:pPr>
      <w:r>
        <w:rPr>
          <w:rFonts w:hint="eastAsia" w:cs="Times New Roman"/>
        </w:rPr>
        <w:t>（g）重要设备未采用防火材料或为未强化防火布置；</w:t>
      </w:r>
    </w:p>
    <w:p w14:paraId="737087E6">
      <w:pPr>
        <w:pStyle w:val="44"/>
        <w:spacing w:before="156" w:after="156"/>
        <w:ind w:firstLine="420"/>
        <w:rPr>
          <w:rFonts w:cs="Times New Roman"/>
        </w:rPr>
      </w:pPr>
      <w:r>
        <w:rPr>
          <w:rFonts w:hint="eastAsia" w:cs="Times New Roman"/>
        </w:rPr>
        <w:t>（h）火灾探测器未设置在封闭电池模组内部。</w:t>
      </w:r>
    </w:p>
    <w:p w14:paraId="0026DB11">
      <w:pPr>
        <w:pStyle w:val="41"/>
        <w:numPr>
          <w:ilvl w:val="0"/>
          <w:numId w:val="0"/>
        </w:numPr>
        <w:rPr>
          <w:rFonts w:cs="Times New Roman"/>
          <w:b w:val="0"/>
          <w:bCs w:val="0"/>
        </w:rPr>
      </w:pPr>
      <w:bookmarkStart w:id="22" w:name="_Toc130762917"/>
      <w:r>
        <w:rPr>
          <w:rFonts w:cs="Times New Roman"/>
          <w:b w:val="0"/>
          <w:bCs w:val="0"/>
        </w:rPr>
        <w:t xml:space="preserve">6 </w:t>
      </w:r>
      <w:r>
        <w:rPr>
          <w:rFonts w:hint="eastAsia" w:cs="Times New Roman"/>
          <w:b w:val="0"/>
          <w:bCs w:val="0"/>
        </w:rPr>
        <w:t>预警安全风险要素监测</w:t>
      </w:r>
      <w:bookmarkEnd w:id="22"/>
    </w:p>
    <w:p w14:paraId="1428F290">
      <w:pPr>
        <w:pStyle w:val="57"/>
        <w:numPr>
          <w:ilvl w:val="0"/>
          <w:numId w:val="0"/>
        </w:numPr>
        <w:rPr>
          <w:rFonts w:cs="Times New Roman"/>
          <w:b w:val="0"/>
          <w:bCs w:val="0"/>
        </w:rPr>
      </w:pPr>
      <w:bookmarkStart w:id="23" w:name="_Toc130762918"/>
      <w:r>
        <w:rPr>
          <w:rFonts w:cs="Times New Roman"/>
          <w:b w:val="0"/>
          <w:bCs w:val="0"/>
        </w:rPr>
        <w:t xml:space="preserve">6.1 </w:t>
      </w:r>
      <w:r>
        <w:rPr>
          <w:rFonts w:hint="eastAsia" w:cs="Times New Roman"/>
          <w:b w:val="0"/>
          <w:bCs w:val="0"/>
        </w:rPr>
        <w:t>监测对象</w:t>
      </w:r>
      <w:bookmarkEnd w:id="23"/>
    </w:p>
    <w:p w14:paraId="0746534B">
      <w:pPr>
        <w:pStyle w:val="44"/>
        <w:spacing w:before="156" w:after="156"/>
        <w:ind w:firstLine="420"/>
      </w:pPr>
      <w:r>
        <w:rPr>
          <w:rFonts w:hint="eastAsia"/>
        </w:rPr>
        <w:t>监测系统的监测对象应包括但不限于5</w:t>
      </w:r>
      <w:r>
        <w:t>.2</w:t>
      </w:r>
      <w:r>
        <w:rPr>
          <w:rFonts w:hint="eastAsia"/>
        </w:rPr>
        <w:t>中的辨识内容。如果5</w:t>
      </w:r>
      <w:r>
        <w:t>.2</w:t>
      </w:r>
      <w:r>
        <w:rPr>
          <w:rFonts w:hint="eastAsia"/>
        </w:rPr>
        <w:t>中某些数据无法直接监测采集，应保证可以通过监测系统采集的其他信号量间接计算或评估得到。</w:t>
      </w:r>
    </w:p>
    <w:p w14:paraId="669731DC">
      <w:pPr>
        <w:pStyle w:val="57"/>
        <w:numPr>
          <w:ilvl w:val="0"/>
          <w:numId w:val="0"/>
        </w:numPr>
        <w:rPr>
          <w:b/>
          <w:bCs/>
        </w:rPr>
      </w:pPr>
      <w:r>
        <w:rPr>
          <w:rFonts w:hint="eastAsia"/>
          <w:b w:val="0"/>
          <w:bCs w:val="0"/>
        </w:rPr>
        <w:t>6</w:t>
      </w:r>
      <w:r>
        <w:rPr>
          <w:b w:val="0"/>
          <w:bCs w:val="0"/>
        </w:rPr>
        <w:t xml:space="preserve">.2 </w:t>
      </w:r>
      <w:r>
        <w:rPr>
          <w:rFonts w:hint="eastAsia"/>
          <w:b w:val="0"/>
          <w:bCs w:val="0"/>
        </w:rPr>
        <w:t>监测要素风险判定</w:t>
      </w:r>
    </w:p>
    <w:p w14:paraId="6650E763">
      <w:pPr>
        <w:pStyle w:val="44"/>
        <w:spacing w:before="156" w:after="156"/>
        <w:ind w:firstLine="420"/>
      </w:pPr>
      <w:r>
        <w:rPr>
          <w:rFonts w:hint="eastAsia"/>
        </w:rPr>
        <w:t>6</w:t>
      </w:r>
      <w:r>
        <w:t xml:space="preserve">.2.1 </w:t>
      </w:r>
      <w:r>
        <w:rPr>
          <w:rFonts w:hint="eastAsia"/>
        </w:rPr>
        <w:t>储能电站应具备运行安全监测系统，该系统应具备数据采集、数据分析、数据预测等功能，从而实现风险定位与预警。</w:t>
      </w:r>
    </w:p>
    <w:p w14:paraId="1EF32A79">
      <w:pPr>
        <w:pStyle w:val="44"/>
        <w:spacing w:before="156" w:after="156"/>
        <w:ind w:firstLine="420"/>
      </w:pPr>
      <w:r>
        <w:t xml:space="preserve">6.2.2 </w:t>
      </w:r>
      <w:r>
        <w:rPr>
          <w:rFonts w:hint="eastAsia"/>
        </w:rPr>
        <w:t>运行安全监测系统采集到的部分信号量与潜在风险高度相关，应规定其正常工作阈值范围或风险判定依据，以辅助判断储能电站设备及系统的潜在风险伤害程度S，见7</w:t>
      </w:r>
      <w:r>
        <w:t>.1</w:t>
      </w:r>
      <w:r>
        <w:rPr>
          <w:rFonts w:hint="eastAsia"/>
        </w:rPr>
        <w:t>。</w:t>
      </w:r>
    </w:p>
    <w:p w14:paraId="53569771">
      <w:pPr>
        <w:pStyle w:val="44"/>
        <w:spacing w:before="156" w:after="156"/>
        <w:ind w:firstLine="420"/>
      </w:pPr>
      <w:r>
        <w:rPr>
          <w:rFonts w:hint="eastAsia"/>
        </w:rPr>
        <w:t>6</w:t>
      </w:r>
      <w:r>
        <w:t xml:space="preserve">.2.3 </w:t>
      </w:r>
      <w:r>
        <w:rPr>
          <w:rFonts w:hint="eastAsia"/>
        </w:rPr>
        <w:t>储能电池宜加以规定的工作参数范围及风险等级判定规则包括但不限于：</w:t>
      </w:r>
    </w:p>
    <w:p w14:paraId="79555E39">
      <w:pPr>
        <w:pStyle w:val="76"/>
        <w:numPr>
          <w:ilvl w:val="0"/>
          <w:numId w:val="0"/>
        </w:numPr>
        <w:spacing w:before="156" w:after="156"/>
        <w:rPr>
          <w:rFonts w:cs="Times New Roman"/>
        </w:rPr>
      </w:pPr>
      <w:bookmarkStart w:id="24" w:name="_Toc14680"/>
      <w:r>
        <w:rPr>
          <w:rFonts w:hint="eastAsia" w:cs="Times New Roman"/>
        </w:rPr>
        <w:t>表5 储能电池工作参数及风险等级判定</w:t>
      </w:r>
      <w:bookmarkEnd w:id="24"/>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1817"/>
        <w:gridCol w:w="6080"/>
      </w:tblGrid>
      <w:tr w14:paraId="2566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389" w:type="dxa"/>
            <w:vAlign w:val="center"/>
          </w:tcPr>
          <w:p w14:paraId="0904F90F">
            <w:pPr>
              <w:pStyle w:val="44"/>
              <w:spacing w:before="0" w:beforeLines="0" w:after="0" w:afterLines="0"/>
              <w:ind w:firstLine="0" w:firstLineChars="0"/>
              <w:jc w:val="center"/>
              <w:rPr>
                <w:rFonts w:cs="Times New Roman"/>
                <w:kern w:val="0"/>
                <w:sz w:val="20"/>
              </w:rPr>
            </w:pPr>
            <w:r>
              <w:rPr>
                <w:rFonts w:hint="eastAsia" w:cs="Times New Roman"/>
                <w:kern w:val="0"/>
                <w:sz w:val="20"/>
              </w:rPr>
              <w:t>监测对象</w:t>
            </w:r>
          </w:p>
        </w:tc>
        <w:tc>
          <w:tcPr>
            <w:tcW w:w="1817" w:type="dxa"/>
            <w:vAlign w:val="center"/>
          </w:tcPr>
          <w:p w14:paraId="01FCB375">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c>
          <w:tcPr>
            <w:tcW w:w="6080" w:type="dxa"/>
            <w:vAlign w:val="center"/>
          </w:tcPr>
          <w:p w14:paraId="4570E3E8">
            <w:pPr>
              <w:pStyle w:val="44"/>
              <w:spacing w:before="0" w:beforeLines="0" w:after="0" w:afterLines="0"/>
              <w:ind w:firstLine="0" w:firstLineChars="0"/>
              <w:jc w:val="center"/>
              <w:rPr>
                <w:rFonts w:cs="Times New Roman"/>
                <w:kern w:val="0"/>
                <w:sz w:val="20"/>
              </w:rPr>
            </w:pPr>
            <w:r>
              <w:rPr>
                <w:rFonts w:hint="eastAsia" w:cs="Times New Roman"/>
                <w:kern w:val="0"/>
                <w:sz w:val="20"/>
              </w:rPr>
              <w:t>风险等级判定</w:t>
            </w:r>
          </w:p>
        </w:tc>
      </w:tr>
      <w:tr w14:paraId="4611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restart"/>
            <w:vAlign w:val="center"/>
          </w:tcPr>
          <w:p w14:paraId="49FABF1B">
            <w:pPr>
              <w:pStyle w:val="44"/>
              <w:spacing w:before="0" w:beforeLines="0" w:after="0" w:afterLines="0"/>
              <w:ind w:firstLine="0" w:firstLineChars="0"/>
              <w:jc w:val="center"/>
              <w:rPr>
                <w:rFonts w:cs="Times New Roman"/>
                <w:kern w:val="0"/>
                <w:sz w:val="20"/>
              </w:rPr>
            </w:pPr>
            <w:r>
              <w:rPr>
                <w:rFonts w:hint="eastAsia" w:cs="Times New Roman"/>
                <w:kern w:val="0"/>
                <w:sz w:val="20"/>
              </w:rPr>
              <w:t>锂离子电池</w:t>
            </w:r>
          </w:p>
        </w:tc>
        <w:tc>
          <w:tcPr>
            <w:tcW w:w="1817" w:type="dxa"/>
            <w:vAlign w:val="center"/>
          </w:tcPr>
          <w:p w14:paraId="3DB98FE2">
            <w:pPr>
              <w:pStyle w:val="44"/>
              <w:spacing w:before="0" w:beforeLines="0" w:after="0" w:afterLines="0"/>
              <w:ind w:firstLine="0" w:firstLineChars="0"/>
              <w:jc w:val="center"/>
              <w:rPr>
                <w:rFonts w:cs="Times New Roman"/>
                <w:kern w:val="0"/>
                <w:sz w:val="20"/>
              </w:rPr>
            </w:pPr>
            <w:r>
              <w:rPr>
                <w:rFonts w:hint="eastAsia" w:cs="Times New Roman"/>
                <w:kern w:val="0"/>
                <w:sz w:val="20"/>
              </w:rPr>
              <w:t>工作温度异常</w:t>
            </w:r>
          </w:p>
        </w:tc>
        <w:tc>
          <w:tcPr>
            <w:tcW w:w="6080" w:type="dxa"/>
            <w:vAlign w:val="center"/>
          </w:tcPr>
          <w:p w14:paraId="6D83BD23">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-20</w:t>
            </w:r>
            <w:r>
              <w:rPr>
                <w:rFonts w:hint="eastAsia" w:cs="Times New Roman"/>
                <w:kern w:val="0"/>
                <w:sz w:val="20"/>
              </w:rPr>
              <w:t>℃</w:t>
            </w:r>
            <w:r>
              <w:rPr>
                <w:rFonts w:cs="Times New Roman"/>
                <w:kern w:val="0"/>
                <w:sz w:val="20"/>
              </w:rPr>
              <w:t>~-10</w:t>
            </w:r>
            <w:r>
              <w:rPr>
                <w:rFonts w:hint="eastAsia" w:cs="Times New Roman"/>
                <w:kern w:val="0"/>
                <w:sz w:val="20"/>
              </w:rPr>
              <w:t>℃</w:t>
            </w:r>
            <w:r>
              <w:rPr>
                <w:rFonts w:cs="Times New Roman"/>
                <w:kern w:val="0"/>
                <w:sz w:val="20"/>
              </w:rPr>
              <w:t>/55</w:t>
            </w:r>
            <w:r>
              <w:rPr>
                <w:rFonts w:hint="eastAsia" w:cs="Times New Roman"/>
                <w:kern w:val="0"/>
                <w:sz w:val="20"/>
              </w:rPr>
              <w:t>℃</w:t>
            </w:r>
            <w:r>
              <w:rPr>
                <w:rFonts w:cs="Times New Roman"/>
                <w:kern w:val="0"/>
                <w:sz w:val="20"/>
              </w:rPr>
              <w:t>~65</w:t>
            </w:r>
            <w:r>
              <w:rPr>
                <w:rFonts w:hint="eastAsia" w:cs="Times New Roman"/>
                <w:kern w:val="0"/>
                <w:sz w:val="20"/>
              </w:rPr>
              <w:t>℃</w:t>
            </w:r>
            <w:r>
              <w:rPr>
                <w:rFonts w:cs="Times New Roman"/>
                <w:kern w:val="0"/>
                <w:sz w:val="20"/>
              </w:rPr>
              <w:t>20</w:t>
            </w:r>
            <w:r>
              <w:rPr>
                <w:rFonts w:hint="eastAsia" w:cs="Times New Roman"/>
                <w:kern w:val="0"/>
                <w:sz w:val="20"/>
              </w:rPr>
              <w:t>分钟及以上，或者电芯温度处于</w:t>
            </w:r>
            <w:r>
              <w:rPr>
                <w:rFonts w:cs="Times New Roman"/>
                <w:kern w:val="0"/>
                <w:sz w:val="20"/>
              </w:rPr>
              <w:t>-20</w:t>
            </w:r>
            <w:r>
              <w:rPr>
                <w:rFonts w:hint="eastAsia" w:cs="Times New Roman"/>
                <w:kern w:val="0"/>
                <w:sz w:val="20"/>
              </w:rPr>
              <w:t>℃</w:t>
            </w:r>
            <w:r>
              <w:rPr>
                <w:rFonts w:cs="Times New Roman"/>
                <w:kern w:val="0"/>
                <w:sz w:val="20"/>
              </w:rPr>
              <w:t>~-10</w:t>
            </w:r>
            <w:r>
              <w:rPr>
                <w:rFonts w:hint="eastAsia" w:cs="Times New Roman"/>
                <w:kern w:val="0"/>
                <w:sz w:val="20"/>
              </w:rPr>
              <w:t>℃</w:t>
            </w:r>
            <w:r>
              <w:rPr>
                <w:rFonts w:cs="Times New Roman"/>
                <w:kern w:val="0"/>
                <w:sz w:val="20"/>
              </w:rPr>
              <w:t>/55</w:t>
            </w:r>
            <w:r>
              <w:rPr>
                <w:rFonts w:hint="eastAsia" w:cs="Times New Roman"/>
                <w:kern w:val="0"/>
                <w:sz w:val="20"/>
              </w:rPr>
              <w:t>℃</w:t>
            </w:r>
            <w:r>
              <w:rPr>
                <w:rFonts w:cs="Times New Roman"/>
                <w:kern w:val="0"/>
                <w:sz w:val="20"/>
              </w:rPr>
              <w:t>~65</w:t>
            </w:r>
            <w:r>
              <w:rPr>
                <w:rFonts w:hint="eastAsia" w:cs="Times New Roman"/>
                <w:kern w:val="0"/>
                <w:sz w:val="20"/>
              </w:rPr>
              <w:t>℃区间</w:t>
            </w:r>
            <w:r>
              <w:rPr>
                <w:rFonts w:cs="Times New Roman"/>
                <w:kern w:val="0"/>
                <w:sz w:val="20"/>
              </w:rPr>
              <w:t>10</w:t>
            </w:r>
            <w:r>
              <w:rPr>
                <w:rFonts w:hint="eastAsia" w:cs="Times New Roman"/>
                <w:kern w:val="0"/>
                <w:sz w:val="20"/>
              </w:rPr>
              <w:t>分钟及以上，轻微风险；</w:t>
            </w:r>
          </w:p>
          <w:p w14:paraId="0C1BC5EA">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-30</w:t>
            </w:r>
            <w:r>
              <w:rPr>
                <w:rFonts w:hint="eastAsia" w:cs="Times New Roman"/>
                <w:kern w:val="0"/>
                <w:sz w:val="20"/>
              </w:rPr>
              <w:t>℃</w:t>
            </w:r>
            <w:r>
              <w:rPr>
                <w:rFonts w:cs="Times New Roman"/>
                <w:kern w:val="0"/>
                <w:sz w:val="20"/>
              </w:rPr>
              <w:t>~-20</w:t>
            </w:r>
            <w:r>
              <w:rPr>
                <w:rFonts w:hint="eastAsia" w:cs="Times New Roman"/>
                <w:kern w:val="0"/>
                <w:sz w:val="20"/>
              </w:rPr>
              <w:t>℃</w:t>
            </w:r>
            <w:r>
              <w:rPr>
                <w:rFonts w:cs="Times New Roman"/>
                <w:kern w:val="0"/>
                <w:sz w:val="20"/>
              </w:rPr>
              <w:t>/65</w:t>
            </w:r>
            <w:r>
              <w:rPr>
                <w:rFonts w:hint="eastAsia" w:cs="Times New Roman"/>
                <w:kern w:val="0"/>
                <w:sz w:val="20"/>
              </w:rPr>
              <w:t>℃</w:t>
            </w:r>
            <w:r>
              <w:rPr>
                <w:rFonts w:cs="Times New Roman"/>
                <w:kern w:val="0"/>
                <w:sz w:val="20"/>
              </w:rPr>
              <w:t>~75</w:t>
            </w:r>
            <w:r>
              <w:rPr>
                <w:rFonts w:hint="eastAsia" w:cs="Times New Roman"/>
                <w:kern w:val="0"/>
                <w:sz w:val="20"/>
              </w:rPr>
              <w:t>℃</w:t>
            </w:r>
            <w:r>
              <w:rPr>
                <w:rFonts w:cs="Times New Roman"/>
                <w:kern w:val="0"/>
                <w:sz w:val="20"/>
              </w:rPr>
              <w:t>10</w:t>
            </w:r>
            <w:r>
              <w:rPr>
                <w:rFonts w:hint="eastAsia" w:cs="Times New Roman"/>
                <w:kern w:val="0"/>
                <w:sz w:val="20"/>
              </w:rPr>
              <w:t>分钟及以上或者电芯温度处于</w:t>
            </w:r>
            <w:r>
              <w:rPr>
                <w:rFonts w:cs="Times New Roman"/>
                <w:kern w:val="0"/>
                <w:sz w:val="20"/>
              </w:rPr>
              <w:t>-30</w:t>
            </w:r>
            <w:r>
              <w:rPr>
                <w:rFonts w:hint="eastAsia" w:cs="Times New Roman"/>
                <w:kern w:val="0"/>
                <w:sz w:val="20"/>
              </w:rPr>
              <w:t>℃</w:t>
            </w:r>
            <w:r>
              <w:rPr>
                <w:rFonts w:cs="Times New Roman"/>
                <w:kern w:val="0"/>
                <w:sz w:val="20"/>
              </w:rPr>
              <w:t>~-20</w:t>
            </w:r>
            <w:r>
              <w:rPr>
                <w:rFonts w:hint="eastAsia" w:cs="Times New Roman"/>
                <w:kern w:val="0"/>
                <w:sz w:val="20"/>
              </w:rPr>
              <w:t>℃</w:t>
            </w:r>
            <w:r>
              <w:rPr>
                <w:rFonts w:cs="Times New Roman"/>
                <w:kern w:val="0"/>
                <w:sz w:val="20"/>
              </w:rPr>
              <w:t>/65</w:t>
            </w:r>
            <w:r>
              <w:rPr>
                <w:rFonts w:hint="eastAsia" w:cs="Times New Roman"/>
                <w:kern w:val="0"/>
                <w:sz w:val="20"/>
              </w:rPr>
              <w:t>℃</w:t>
            </w:r>
            <w:r>
              <w:rPr>
                <w:rFonts w:cs="Times New Roman"/>
                <w:kern w:val="0"/>
                <w:sz w:val="20"/>
              </w:rPr>
              <w:t>~75</w:t>
            </w:r>
            <w:r>
              <w:rPr>
                <w:rFonts w:hint="eastAsia" w:cs="Times New Roman"/>
                <w:kern w:val="0"/>
                <w:sz w:val="20"/>
              </w:rPr>
              <w:t>℃区间</w:t>
            </w:r>
            <w:r>
              <w:rPr>
                <w:rFonts w:cs="Times New Roman"/>
                <w:kern w:val="0"/>
                <w:sz w:val="20"/>
              </w:rPr>
              <w:t>5</w:t>
            </w:r>
            <w:r>
              <w:rPr>
                <w:rFonts w:hint="eastAsia" w:cs="Times New Roman"/>
                <w:kern w:val="0"/>
                <w:sz w:val="20"/>
              </w:rPr>
              <w:t>分钟及以上，中度风险；</w:t>
            </w:r>
          </w:p>
          <w:p w14:paraId="1F08CB61">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-30</w:t>
            </w:r>
            <w:r>
              <w:rPr>
                <w:rFonts w:hint="eastAsia" w:cs="Times New Roman"/>
                <w:kern w:val="0"/>
                <w:sz w:val="20"/>
              </w:rPr>
              <w:t>℃以下</w:t>
            </w:r>
            <w:r>
              <w:rPr>
                <w:rFonts w:cs="Times New Roman"/>
                <w:kern w:val="0"/>
                <w:sz w:val="20"/>
              </w:rPr>
              <w:t>/75</w:t>
            </w:r>
            <w:r>
              <w:rPr>
                <w:rFonts w:hint="eastAsia" w:cs="Times New Roman"/>
                <w:kern w:val="0"/>
                <w:sz w:val="20"/>
              </w:rPr>
              <w:t>℃以上</w:t>
            </w:r>
            <w:r>
              <w:rPr>
                <w:rFonts w:cs="Times New Roman"/>
                <w:kern w:val="0"/>
                <w:sz w:val="20"/>
              </w:rPr>
              <w:t>2</w:t>
            </w:r>
            <w:r>
              <w:rPr>
                <w:rFonts w:hint="eastAsia" w:cs="Times New Roman"/>
                <w:kern w:val="0"/>
                <w:sz w:val="20"/>
              </w:rPr>
              <w:t>分钟及以上，或者电芯温度处于</w:t>
            </w:r>
            <w:r>
              <w:rPr>
                <w:rFonts w:cs="Times New Roman"/>
                <w:kern w:val="0"/>
                <w:sz w:val="20"/>
              </w:rPr>
              <w:t>-30</w:t>
            </w:r>
            <w:r>
              <w:rPr>
                <w:rFonts w:hint="eastAsia" w:cs="Times New Roman"/>
                <w:kern w:val="0"/>
                <w:sz w:val="20"/>
              </w:rPr>
              <w:t>℃以下</w:t>
            </w:r>
            <w:r>
              <w:rPr>
                <w:rFonts w:cs="Times New Roman"/>
                <w:kern w:val="0"/>
                <w:sz w:val="20"/>
              </w:rPr>
              <w:t>/75</w:t>
            </w:r>
            <w:r>
              <w:rPr>
                <w:rFonts w:hint="eastAsia" w:cs="Times New Roman"/>
                <w:kern w:val="0"/>
                <w:sz w:val="20"/>
              </w:rPr>
              <w:t>℃以上区间</w:t>
            </w:r>
            <w:r>
              <w:rPr>
                <w:rFonts w:cs="Times New Roman"/>
                <w:kern w:val="0"/>
                <w:sz w:val="20"/>
              </w:rPr>
              <w:t>1</w:t>
            </w:r>
            <w:r>
              <w:rPr>
                <w:rFonts w:hint="eastAsia" w:cs="Times New Roman"/>
                <w:kern w:val="0"/>
                <w:sz w:val="20"/>
              </w:rPr>
              <w:t>分钟及以上，高度风险；</w:t>
            </w:r>
          </w:p>
        </w:tc>
      </w:tr>
      <w:tr w14:paraId="33EC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5EDA2D58">
            <w:pPr>
              <w:pStyle w:val="44"/>
              <w:spacing w:before="0" w:beforeLines="0" w:after="0" w:afterLines="0"/>
              <w:ind w:firstLine="0" w:firstLineChars="0"/>
              <w:jc w:val="center"/>
              <w:rPr>
                <w:rFonts w:cs="Times New Roman"/>
                <w:kern w:val="0"/>
                <w:sz w:val="20"/>
              </w:rPr>
            </w:pPr>
          </w:p>
        </w:tc>
        <w:tc>
          <w:tcPr>
            <w:tcW w:w="1817" w:type="dxa"/>
            <w:vAlign w:val="center"/>
          </w:tcPr>
          <w:p w14:paraId="224DA7A3">
            <w:pPr>
              <w:pStyle w:val="44"/>
              <w:spacing w:before="0" w:beforeLines="0" w:after="0" w:afterLines="0"/>
              <w:ind w:firstLine="0" w:firstLineChars="0"/>
              <w:jc w:val="center"/>
              <w:rPr>
                <w:rFonts w:cs="Times New Roman"/>
                <w:kern w:val="0"/>
                <w:sz w:val="20"/>
              </w:rPr>
            </w:pPr>
            <w:r>
              <w:rPr>
                <w:rFonts w:hint="eastAsia" w:cs="Times New Roman"/>
                <w:kern w:val="0"/>
                <w:sz w:val="20"/>
              </w:rPr>
              <w:t>电池耐久性下降</w:t>
            </w:r>
          </w:p>
        </w:tc>
        <w:tc>
          <w:tcPr>
            <w:tcW w:w="6080" w:type="dxa"/>
            <w:vAlign w:val="center"/>
          </w:tcPr>
          <w:p w14:paraId="48CAEEA7">
            <w:pPr>
              <w:pStyle w:val="44"/>
              <w:spacing w:before="0" w:beforeLines="0" w:after="0" w:afterLines="0"/>
              <w:ind w:firstLine="0" w:firstLineChars="0"/>
              <w:rPr>
                <w:rFonts w:cs="Times New Roman"/>
                <w:kern w:val="0"/>
                <w:sz w:val="20"/>
              </w:rPr>
            </w:pPr>
            <w:r>
              <w:rPr>
                <w:rFonts w:hint="eastAsia" w:cs="Times New Roman"/>
                <w:kern w:val="0"/>
                <w:sz w:val="20"/>
              </w:rPr>
              <w:t>电池总的放电能量与电池初始能量的比值达</w:t>
            </w:r>
            <w:r>
              <w:rPr>
                <w:rFonts w:cs="Times New Roman"/>
                <w:kern w:val="0"/>
                <w:sz w:val="20"/>
              </w:rPr>
              <w:t>300</w:t>
            </w:r>
            <w:r>
              <w:rPr>
                <w:rFonts w:hint="eastAsia" w:cs="Times New Roman"/>
                <w:kern w:val="0"/>
                <w:sz w:val="20"/>
              </w:rPr>
              <w:t>，电池系统的放电容量低于额定容量</w:t>
            </w:r>
            <w:r>
              <w:rPr>
                <w:rFonts w:cs="Times New Roman"/>
                <w:kern w:val="0"/>
                <w:sz w:val="20"/>
              </w:rPr>
              <w:t>6%</w:t>
            </w:r>
            <w:r>
              <w:rPr>
                <w:rFonts w:hint="eastAsia" w:cs="Times New Roman"/>
                <w:kern w:val="0"/>
                <w:sz w:val="20"/>
              </w:rPr>
              <w:t>，低风险；电池系统的放电容量低于额定容量</w:t>
            </w:r>
            <w:r>
              <w:rPr>
                <w:rFonts w:cs="Times New Roman"/>
                <w:kern w:val="0"/>
                <w:sz w:val="20"/>
              </w:rPr>
              <w:t>8%</w:t>
            </w:r>
            <w:r>
              <w:rPr>
                <w:rFonts w:hint="eastAsia" w:cs="Times New Roman"/>
                <w:kern w:val="0"/>
                <w:sz w:val="20"/>
              </w:rPr>
              <w:t>，中风险；电池系统的放电容量低于额定容量</w:t>
            </w:r>
            <w:r>
              <w:rPr>
                <w:rFonts w:cs="Times New Roman"/>
                <w:kern w:val="0"/>
                <w:sz w:val="20"/>
              </w:rPr>
              <w:t>10%</w:t>
            </w:r>
            <w:r>
              <w:rPr>
                <w:rFonts w:hint="eastAsia" w:cs="Times New Roman"/>
                <w:kern w:val="0"/>
                <w:sz w:val="20"/>
              </w:rPr>
              <w:t>，高风险；</w:t>
            </w:r>
          </w:p>
          <w:p w14:paraId="4BA6826A">
            <w:pPr>
              <w:pStyle w:val="44"/>
              <w:spacing w:before="0" w:beforeLines="0" w:after="0" w:afterLines="0"/>
              <w:ind w:firstLine="0" w:firstLineChars="0"/>
              <w:rPr>
                <w:rFonts w:cs="Times New Roman"/>
                <w:kern w:val="0"/>
                <w:sz w:val="20"/>
              </w:rPr>
            </w:pPr>
            <w:r>
              <w:rPr>
                <w:rFonts w:hint="eastAsia" w:cs="Times New Roman"/>
                <w:kern w:val="0"/>
                <w:sz w:val="20"/>
              </w:rPr>
              <w:t>电池总的放电能量与电池初始能量的比值达</w:t>
            </w:r>
            <w:r>
              <w:rPr>
                <w:rFonts w:cs="Times New Roman"/>
                <w:kern w:val="0"/>
                <w:sz w:val="20"/>
              </w:rPr>
              <w:t>500</w:t>
            </w:r>
            <w:r>
              <w:rPr>
                <w:rFonts w:hint="eastAsia" w:cs="Times New Roman"/>
                <w:kern w:val="0"/>
                <w:sz w:val="20"/>
              </w:rPr>
              <w:t>，电池系统的放电容量低于额定容量</w:t>
            </w:r>
            <w:r>
              <w:rPr>
                <w:rFonts w:cs="Times New Roman"/>
                <w:kern w:val="0"/>
                <w:sz w:val="20"/>
              </w:rPr>
              <w:t>10%</w:t>
            </w:r>
            <w:r>
              <w:rPr>
                <w:rFonts w:hint="eastAsia" w:cs="Times New Roman"/>
                <w:kern w:val="0"/>
                <w:sz w:val="20"/>
              </w:rPr>
              <w:t>，低风险；电池系统的放电容量低于额定容量</w:t>
            </w:r>
            <w:r>
              <w:rPr>
                <w:rFonts w:cs="Times New Roman"/>
                <w:kern w:val="0"/>
                <w:sz w:val="20"/>
              </w:rPr>
              <w:t>15%</w:t>
            </w:r>
            <w:r>
              <w:rPr>
                <w:rFonts w:hint="eastAsia" w:cs="Times New Roman"/>
                <w:kern w:val="0"/>
                <w:sz w:val="20"/>
              </w:rPr>
              <w:t>，中风险；电池系统的放电容量低于额定容量</w:t>
            </w:r>
            <w:r>
              <w:rPr>
                <w:rFonts w:cs="Times New Roman"/>
                <w:kern w:val="0"/>
                <w:sz w:val="20"/>
              </w:rPr>
              <w:t>20%</w:t>
            </w:r>
            <w:r>
              <w:rPr>
                <w:rFonts w:hint="eastAsia" w:cs="Times New Roman"/>
                <w:kern w:val="0"/>
                <w:sz w:val="20"/>
              </w:rPr>
              <w:t>，高风险；</w:t>
            </w:r>
          </w:p>
          <w:p w14:paraId="60E6B482">
            <w:pPr>
              <w:pStyle w:val="44"/>
              <w:spacing w:before="0" w:beforeLines="0" w:after="0" w:afterLines="0"/>
              <w:ind w:firstLine="0" w:firstLineChars="0"/>
              <w:rPr>
                <w:rFonts w:cs="Times New Roman"/>
                <w:kern w:val="0"/>
                <w:sz w:val="20"/>
              </w:rPr>
            </w:pPr>
            <w:r>
              <w:rPr>
                <w:rFonts w:hint="eastAsia" w:cs="Times New Roman"/>
                <w:kern w:val="0"/>
                <w:sz w:val="20"/>
              </w:rPr>
              <w:t>电池总的放电能量与电池初始能量的比值达</w:t>
            </w:r>
            <w:r>
              <w:rPr>
                <w:rFonts w:cs="Times New Roman"/>
                <w:kern w:val="0"/>
                <w:sz w:val="20"/>
              </w:rPr>
              <w:t>1000</w:t>
            </w:r>
            <w:r>
              <w:rPr>
                <w:rFonts w:hint="eastAsia" w:cs="Times New Roman"/>
                <w:kern w:val="0"/>
                <w:sz w:val="20"/>
              </w:rPr>
              <w:t>，电池系统的放电容量低于额定容量</w:t>
            </w:r>
            <w:r>
              <w:rPr>
                <w:rFonts w:cs="Times New Roman"/>
                <w:kern w:val="0"/>
                <w:sz w:val="20"/>
              </w:rPr>
              <w:t>20%</w:t>
            </w:r>
            <w:r>
              <w:rPr>
                <w:rFonts w:hint="eastAsia" w:cs="Times New Roman"/>
                <w:kern w:val="0"/>
                <w:sz w:val="20"/>
              </w:rPr>
              <w:t>，低风险；电池系统的放电容量低于额定容量</w:t>
            </w:r>
            <w:r>
              <w:rPr>
                <w:rFonts w:cs="Times New Roman"/>
                <w:kern w:val="0"/>
                <w:sz w:val="20"/>
              </w:rPr>
              <w:t>25%</w:t>
            </w:r>
            <w:r>
              <w:rPr>
                <w:rFonts w:hint="eastAsia" w:cs="Times New Roman"/>
                <w:kern w:val="0"/>
                <w:sz w:val="20"/>
              </w:rPr>
              <w:t>，中风险；电池系统的放电容量低于额定容量</w:t>
            </w:r>
            <w:r>
              <w:rPr>
                <w:rFonts w:cs="Times New Roman"/>
                <w:kern w:val="0"/>
                <w:sz w:val="20"/>
              </w:rPr>
              <w:t>30%</w:t>
            </w:r>
            <w:r>
              <w:rPr>
                <w:rFonts w:hint="eastAsia" w:cs="Times New Roman"/>
                <w:kern w:val="0"/>
                <w:sz w:val="20"/>
              </w:rPr>
              <w:t>，高风险；</w:t>
            </w:r>
          </w:p>
        </w:tc>
      </w:tr>
      <w:tr w14:paraId="0038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30B403CC">
            <w:pPr>
              <w:pStyle w:val="44"/>
              <w:spacing w:before="0" w:beforeLines="0" w:after="0" w:afterLines="0"/>
              <w:ind w:firstLine="0" w:firstLineChars="0"/>
              <w:jc w:val="center"/>
              <w:rPr>
                <w:rFonts w:cs="Times New Roman"/>
                <w:kern w:val="0"/>
                <w:sz w:val="20"/>
              </w:rPr>
            </w:pPr>
          </w:p>
        </w:tc>
        <w:tc>
          <w:tcPr>
            <w:tcW w:w="1817" w:type="dxa"/>
            <w:vAlign w:val="center"/>
          </w:tcPr>
          <w:p w14:paraId="0AC2D98B">
            <w:pPr>
              <w:pStyle w:val="44"/>
              <w:spacing w:before="0" w:beforeLines="0" w:after="0" w:afterLines="0"/>
              <w:ind w:firstLine="0" w:firstLineChars="0"/>
              <w:jc w:val="center"/>
              <w:rPr>
                <w:rFonts w:cs="Times New Roman"/>
                <w:kern w:val="0"/>
                <w:sz w:val="20"/>
              </w:rPr>
            </w:pPr>
            <w:r>
              <w:rPr>
                <w:rFonts w:hint="eastAsia" w:cs="Times New Roman"/>
                <w:kern w:val="0"/>
                <w:sz w:val="20"/>
              </w:rPr>
              <w:t>电池单体一致性下降</w:t>
            </w:r>
          </w:p>
        </w:tc>
        <w:tc>
          <w:tcPr>
            <w:tcW w:w="6080" w:type="dxa"/>
            <w:vAlign w:val="center"/>
          </w:tcPr>
          <w:p w14:paraId="56D123B1">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w:t>
            </w:r>
            <w:r>
              <w:rPr>
                <w:rFonts w:cs="Times New Roman"/>
                <w:kern w:val="0"/>
                <w:sz w:val="20"/>
              </w:rPr>
              <w:t>/</w:t>
            </w:r>
            <w:r>
              <w:rPr>
                <w:rFonts w:hint="eastAsia" w:cs="Times New Roman"/>
                <w:kern w:val="0"/>
                <w:sz w:val="20"/>
              </w:rPr>
              <w:t>健康状态最大差值达到</w:t>
            </w:r>
            <w:r>
              <w:rPr>
                <w:rFonts w:cs="Times New Roman"/>
                <w:kern w:val="0"/>
                <w:sz w:val="20"/>
              </w:rPr>
              <w:t>3%</w:t>
            </w:r>
            <w:r>
              <w:rPr>
                <w:rFonts w:hint="eastAsia" w:cs="Times New Roman"/>
                <w:kern w:val="0"/>
                <w:sz w:val="20"/>
              </w:rPr>
              <w:t>，或最大工作温度差达到</w:t>
            </w:r>
            <w:r>
              <w:rPr>
                <w:rFonts w:cs="Times New Roman"/>
                <w:kern w:val="0"/>
                <w:sz w:val="20"/>
              </w:rPr>
              <w:t>10</w:t>
            </w:r>
            <w:r>
              <w:rPr>
                <w:rFonts w:hint="eastAsia" w:cs="Times New Roman"/>
                <w:kern w:val="0"/>
                <w:sz w:val="20"/>
              </w:rPr>
              <w:t>℃，轻度风险；</w:t>
            </w:r>
          </w:p>
          <w:p w14:paraId="34E12B18">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w:t>
            </w:r>
            <w:r>
              <w:rPr>
                <w:rFonts w:cs="Times New Roman"/>
                <w:kern w:val="0"/>
                <w:sz w:val="20"/>
              </w:rPr>
              <w:t>/</w:t>
            </w:r>
            <w:r>
              <w:rPr>
                <w:rFonts w:hint="eastAsia" w:cs="Times New Roman"/>
                <w:kern w:val="0"/>
                <w:sz w:val="20"/>
              </w:rPr>
              <w:t>健康状态最大差值达到</w:t>
            </w:r>
            <w:r>
              <w:rPr>
                <w:rFonts w:cs="Times New Roman"/>
                <w:kern w:val="0"/>
                <w:sz w:val="20"/>
              </w:rPr>
              <w:t>6%</w:t>
            </w:r>
            <w:r>
              <w:rPr>
                <w:rFonts w:hint="eastAsia" w:cs="Times New Roman"/>
                <w:kern w:val="0"/>
                <w:sz w:val="20"/>
              </w:rPr>
              <w:t>，或最大工作温度差达到</w:t>
            </w:r>
            <w:r>
              <w:rPr>
                <w:rFonts w:cs="Times New Roman"/>
                <w:kern w:val="0"/>
                <w:sz w:val="20"/>
              </w:rPr>
              <w:t>15</w:t>
            </w:r>
            <w:r>
              <w:rPr>
                <w:rFonts w:hint="eastAsia" w:cs="Times New Roman"/>
                <w:kern w:val="0"/>
                <w:sz w:val="20"/>
              </w:rPr>
              <w:t>℃，中度风险；</w:t>
            </w:r>
          </w:p>
          <w:p w14:paraId="61AE17E9">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w:t>
            </w:r>
            <w:r>
              <w:rPr>
                <w:rFonts w:cs="Times New Roman"/>
                <w:kern w:val="0"/>
                <w:sz w:val="20"/>
              </w:rPr>
              <w:t>/</w:t>
            </w:r>
            <w:r>
              <w:rPr>
                <w:rFonts w:hint="eastAsia" w:cs="Times New Roman"/>
                <w:kern w:val="0"/>
                <w:sz w:val="20"/>
              </w:rPr>
              <w:t>健康状态最大差值达到</w:t>
            </w:r>
            <w:r>
              <w:rPr>
                <w:rFonts w:cs="Times New Roman"/>
                <w:kern w:val="0"/>
                <w:sz w:val="20"/>
              </w:rPr>
              <w:t>10%</w:t>
            </w:r>
            <w:r>
              <w:rPr>
                <w:rFonts w:hint="eastAsia" w:cs="Times New Roman"/>
                <w:kern w:val="0"/>
                <w:sz w:val="20"/>
              </w:rPr>
              <w:t>，或最大工作温度差达到</w:t>
            </w:r>
            <w:r>
              <w:rPr>
                <w:rFonts w:cs="Times New Roman"/>
                <w:kern w:val="0"/>
                <w:sz w:val="20"/>
              </w:rPr>
              <w:t>20</w:t>
            </w:r>
            <w:r>
              <w:rPr>
                <w:rFonts w:hint="eastAsia" w:cs="Times New Roman"/>
                <w:kern w:val="0"/>
                <w:sz w:val="20"/>
              </w:rPr>
              <w:t>℃，高度风险；</w:t>
            </w:r>
          </w:p>
        </w:tc>
      </w:tr>
      <w:tr w14:paraId="20F5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76EAFC49">
            <w:pPr>
              <w:pStyle w:val="44"/>
              <w:spacing w:before="0" w:beforeLines="0" w:after="0" w:afterLines="0"/>
              <w:ind w:firstLine="0" w:firstLineChars="0"/>
              <w:jc w:val="center"/>
              <w:rPr>
                <w:rFonts w:cs="Times New Roman"/>
                <w:kern w:val="0"/>
                <w:sz w:val="20"/>
              </w:rPr>
            </w:pPr>
          </w:p>
        </w:tc>
        <w:tc>
          <w:tcPr>
            <w:tcW w:w="1817" w:type="dxa"/>
            <w:vAlign w:val="center"/>
          </w:tcPr>
          <w:p w14:paraId="7CCABD7B">
            <w:pPr>
              <w:pStyle w:val="44"/>
              <w:spacing w:before="0" w:beforeLines="0" w:after="0" w:afterLines="0"/>
              <w:ind w:firstLine="0" w:firstLineChars="0"/>
              <w:jc w:val="center"/>
              <w:rPr>
                <w:rFonts w:cs="Times New Roman"/>
                <w:kern w:val="0"/>
                <w:sz w:val="20"/>
              </w:rPr>
            </w:pPr>
            <w:r>
              <w:rPr>
                <w:rFonts w:hint="eastAsia" w:cs="Times New Roman"/>
                <w:kern w:val="0"/>
                <w:sz w:val="20"/>
              </w:rPr>
              <w:t>电池短路</w:t>
            </w:r>
          </w:p>
        </w:tc>
        <w:tc>
          <w:tcPr>
            <w:tcW w:w="6080" w:type="dxa"/>
            <w:vAlign w:val="center"/>
          </w:tcPr>
          <w:p w14:paraId="568DC144">
            <w:pPr>
              <w:pStyle w:val="44"/>
              <w:spacing w:before="0" w:beforeLines="0" w:after="0" w:afterLines="0"/>
              <w:ind w:firstLine="0" w:firstLineChars="0"/>
              <w:jc w:val="center"/>
              <w:rPr>
                <w:rFonts w:cs="Times New Roman"/>
                <w:kern w:val="0"/>
                <w:sz w:val="20"/>
              </w:rPr>
            </w:pPr>
            <w:r>
              <w:rPr>
                <w:rFonts w:hint="eastAsia" w:cs="Times New Roman"/>
                <w:kern w:val="0"/>
                <w:sz w:val="20"/>
              </w:rPr>
              <w:t>出现短路现象，中度风险；</w:t>
            </w:r>
          </w:p>
          <w:p w14:paraId="70699A0A">
            <w:pPr>
              <w:pStyle w:val="44"/>
              <w:spacing w:before="0" w:beforeLines="0" w:after="0" w:afterLines="0"/>
              <w:ind w:firstLine="0" w:firstLineChars="0"/>
              <w:jc w:val="center"/>
              <w:rPr>
                <w:rFonts w:cs="Times New Roman"/>
                <w:kern w:val="0"/>
                <w:sz w:val="20"/>
              </w:rPr>
            </w:pPr>
            <w:r>
              <w:rPr>
                <w:rFonts w:hint="eastAsia" w:cs="Times New Roman"/>
                <w:kern w:val="0"/>
                <w:sz w:val="20"/>
              </w:rPr>
              <w:t>短路现象持续</w:t>
            </w:r>
            <w:r>
              <w:rPr>
                <w:rFonts w:cs="Times New Roman"/>
                <w:kern w:val="0"/>
                <w:sz w:val="20"/>
              </w:rPr>
              <w:t>3</w:t>
            </w:r>
            <w:r>
              <w:rPr>
                <w:rFonts w:hint="eastAsia" w:cs="Times New Roman"/>
                <w:kern w:val="0"/>
                <w:sz w:val="20"/>
              </w:rPr>
              <w:t>秒以上或</w:t>
            </w:r>
            <w:r>
              <w:rPr>
                <w:rFonts w:cs="Times New Roman"/>
                <w:kern w:val="0"/>
                <w:sz w:val="20"/>
              </w:rPr>
              <w:t>10</w:t>
            </w:r>
            <w:r>
              <w:rPr>
                <w:rFonts w:hint="eastAsia" w:cs="Times New Roman"/>
                <w:kern w:val="0"/>
                <w:sz w:val="20"/>
              </w:rPr>
              <w:t>分钟内出现</w:t>
            </w:r>
            <w:r>
              <w:rPr>
                <w:rFonts w:cs="Times New Roman"/>
                <w:kern w:val="0"/>
                <w:sz w:val="20"/>
              </w:rPr>
              <w:t>2</w:t>
            </w:r>
            <w:r>
              <w:rPr>
                <w:rFonts w:hint="eastAsia" w:cs="Times New Roman"/>
                <w:kern w:val="0"/>
                <w:sz w:val="20"/>
              </w:rPr>
              <w:t>次及以上，高度风险；</w:t>
            </w:r>
          </w:p>
        </w:tc>
      </w:tr>
      <w:tr w14:paraId="5153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restart"/>
            <w:vAlign w:val="center"/>
          </w:tcPr>
          <w:p w14:paraId="7B1DFDAE">
            <w:pPr>
              <w:pStyle w:val="44"/>
              <w:spacing w:before="0" w:beforeLines="0" w:after="0" w:afterLines="0"/>
              <w:ind w:firstLine="0" w:firstLineChars="0"/>
              <w:jc w:val="center"/>
              <w:rPr>
                <w:rFonts w:cs="Times New Roman"/>
                <w:kern w:val="0"/>
                <w:sz w:val="20"/>
              </w:rPr>
            </w:pPr>
            <w:r>
              <w:rPr>
                <w:rFonts w:hint="eastAsia" w:cs="Times New Roman"/>
                <w:kern w:val="0"/>
                <w:sz w:val="20"/>
              </w:rPr>
              <w:t>铅酸/铅炭电池</w:t>
            </w:r>
          </w:p>
        </w:tc>
        <w:tc>
          <w:tcPr>
            <w:tcW w:w="1817" w:type="dxa"/>
            <w:vAlign w:val="center"/>
          </w:tcPr>
          <w:p w14:paraId="0F95C60F">
            <w:pPr>
              <w:pStyle w:val="44"/>
              <w:spacing w:before="0" w:beforeLines="0" w:after="0" w:afterLines="0"/>
              <w:ind w:firstLine="0" w:firstLineChars="0"/>
              <w:jc w:val="center"/>
              <w:rPr>
                <w:rFonts w:cs="Times New Roman"/>
                <w:kern w:val="0"/>
                <w:sz w:val="20"/>
              </w:rPr>
            </w:pPr>
            <w:r>
              <w:rPr>
                <w:rFonts w:hint="eastAsia" w:cs="Times New Roman"/>
                <w:kern w:val="0"/>
                <w:sz w:val="20"/>
              </w:rPr>
              <w:t>工作温度异常</w:t>
            </w:r>
          </w:p>
        </w:tc>
        <w:tc>
          <w:tcPr>
            <w:tcW w:w="6080" w:type="dxa"/>
            <w:vAlign w:val="center"/>
          </w:tcPr>
          <w:p w14:paraId="335EE8B5">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-30</w:t>
            </w:r>
            <w:r>
              <w:rPr>
                <w:rFonts w:hint="eastAsia" w:cs="Times New Roman"/>
                <w:kern w:val="0"/>
                <w:sz w:val="20"/>
              </w:rPr>
              <w:t>℃</w:t>
            </w:r>
            <w:r>
              <w:rPr>
                <w:rFonts w:cs="Times New Roman"/>
                <w:kern w:val="0"/>
                <w:sz w:val="20"/>
              </w:rPr>
              <w:t>~-20</w:t>
            </w:r>
            <w:r>
              <w:rPr>
                <w:rFonts w:hint="eastAsia" w:cs="Times New Roman"/>
                <w:kern w:val="0"/>
                <w:sz w:val="20"/>
              </w:rPr>
              <w:t>℃或</w:t>
            </w:r>
            <w:r>
              <w:rPr>
                <w:rFonts w:cs="Times New Roman"/>
                <w:kern w:val="0"/>
                <w:sz w:val="20"/>
              </w:rPr>
              <w:t>55</w:t>
            </w:r>
            <w:r>
              <w:rPr>
                <w:rFonts w:hint="eastAsia" w:cs="Times New Roman"/>
                <w:kern w:val="0"/>
                <w:sz w:val="20"/>
              </w:rPr>
              <w:t>℃</w:t>
            </w:r>
            <w:r>
              <w:rPr>
                <w:rFonts w:cs="Times New Roman"/>
                <w:kern w:val="0"/>
                <w:sz w:val="20"/>
              </w:rPr>
              <w:t>~65</w:t>
            </w:r>
            <w:r>
              <w:rPr>
                <w:rFonts w:hint="eastAsia" w:cs="Times New Roman"/>
                <w:kern w:val="0"/>
                <w:sz w:val="20"/>
              </w:rPr>
              <w:t>℃，轻微风险；</w:t>
            </w:r>
          </w:p>
          <w:p w14:paraId="5F5BDD8A">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w:t>
            </w:r>
            <w:r>
              <w:rPr>
                <w:rFonts w:cs="Times New Roman"/>
                <w:kern w:val="0"/>
                <w:sz w:val="20"/>
              </w:rPr>
              <w:t>~-30</w:t>
            </w:r>
            <w:r>
              <w:rPr>
                <w:rFonts w:hint="eastAsia" w:cs="Times New Roman"/>
                <w:kern w:val="0"/>
                <w:sz w:val="20"/>
              </w:rPr>
              <w:t>℃或</w:t>
            </w:r>
            <w:r>
              <w:rPr>
                <w:rFonts w:cs="Times New Roman"/>
                <w:kern w:val="0"/>
                <w:sz w:val="20"/>
              </w:rPr>
              <w:t>65</w:t>
            </w:r>
            <w:r>
              <w:rPr>
                <w:rFonts w:hint="eastAsia" w:cs="Times New Roman"/>
                <w:kern w:val="0"/>
                <w:sz w:val="20"/>
              </w:rPr>
              <w:t>℃</w:t>
            </w:r>
            <w:r>
              <w:rPr>
                <w:rFonts w:cs="Times New Roman"/>
                <w:kern w:val="0"/>
                <w:sz w:val="20"/>
              </w:rPr>
              <w:t>~75</w:t>
            </w:r>
            <w:r>
              <w:rPr>
                <w:rFonts w:hint="eastAsia" w:cs="Times New Roman"/>
                <w:kern w:val="0"/>
                <w:sz w:val="20"/>
              </w:rPr>
              <w:t>℃，中度风险；</w:t>
            </w:r>
          </w:p>
          <w:p w14:paraId="3CA17257">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℃以下或</w:t>
            </w:r>
            <w:r>
              <w:rPr>
                <w:rFonts w:cs="Times New Roman"/>
                <w:kern w:val="0"/>
                <w:sz w:val="20"/>
              </w:rPr>
              <w:t>75</w:t>
            </w:r>
            <w:r>
              <w:rPr>
                <w:rFonts w:hint="eastAsia" w:cs="Times New Roman"/>
                <w:kern w:val="0"/>
                <w:sz w:val="20"/>
              </w:rPr>
              <w:t>℃以上，高度风险；</w:t>
            </w:r>
          </w:p>
        </w:tc>
      </w:tr>
      <w:tr w14:paraId="100C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5B36FB5C">
            <w:pPr>
              <w:pStyle w:val="44"/>
              <w:spacing w:before="0" w:beforeLines="0" w:after="0" w:afterLines="0"/>
              <w:ind w:firstLine="0" w:firstLineChars="0"/>
              <w:jc w:val="center"/>
              <w:rPr>
                <w:rFonts w:cs="Times New Roman"/>
                <w:kern w:val="0"/>
                <w:sz w:val="20"/>
              </w:rPr>
            </w:pPr>
          </w:p>
        </w:tc>
        <w:tc>
          <w:tcPr>
            <w:tcW w:w="1817" w:type="dxa"/>
            <w:vAlign w:val="center"/>
          </w:tcPr>
          <w:p w14:paraId="39045D5F">
            <w:pPr>
              <w:pStyle w:val="44"/>
              <w:spacing w:before="0" w:beforeLines="0" w:after="0" w:afterLines="0"/>
              <w:ind w:firstLine="0" w:firstLineChars="0"/>
              <w:jc w:val="center"/>
              <w:rPr>
                <w:rFonts w:cs="Times New Roman"/>
                <w:kern w:val="0"/>
                <w:sz w:val="20"/>
              </w:rPr>
            </w:pPr>
            <w:r>
              <w:rPr>
                <w:rFonts w:hint="eastAsia" w:cs="Times New Roman"/>
                <w:kern w:val="0"/>
                <w:sz w:val="20"/>
              </w:rPr>
              <w:t>气体析出量超标</w:t>
            </w:r>
          </w:p>
        </w:tc>
        <w:tc>
          <w:tcPr>
            <w:tcW w:w="6080" w:type="dxa"/>
            <w:vAlign w:val="center"/>
          </w:tcPr>
          <w:p w14:paraId="741D1C43">
            <w:pPr>
              <w:pStyle w:val="44"/>
              <w:spacing w:before="0" w:beforeLines="0" w:after="0" w:afterLines="0"/>
              <w:ind w:firstLine="0" w:firstLineChars="0"/>
              <w:jc w:val="center"/>
              <w:rPr>
                <w:rFonts w:cs="Times New Roman"/>
                <w:kern w:val="0"/>
                <w:sz w:val="20"/>
              </w:rPr>
            </w:pPr>
            <w:r>
              <w:rPr>
                <w:rFonts w:hint="eastAsia" w:cs="Times New Roman"/>
                <w:kern w:val="0"/>
                <w:sz w:val="20"/>
              </w:rPr>
              <w:t>在2</w:t>
            </w:r>
            <w:r>
              <w:rPr>
                <w:rFonts w:cs="Times New Roman"/>
                <w:kern w:val="0"/>
                <w:sz w:val="20"/>
              </w:rPr>
              <w:t>0</w:t>
            </w:r>
            <w:r>
              <w:rPr>
                <w:rFonts w:hint="eastAsia" w:cs="Times New Roman"/>
                <w:kern w:val="0"/>
                <w:sz w:val="20"/>
              </w:rPr>
              <w:t>℃及电池单体电压为1</w:t>
            </w:r>
            <w:r>
              <w:rPr>
                <w:rFonts w:cs="Times New Roman"/>
                <w:kern w:val="0"/>
                <w:sz w:val="20"/>
              </w:rPr>
              <w:t>.2</w:t>
            </w:r>
            <w:r>
              <w:rPr>
                <w:rFonts w:hint="eastAsia" w:cs="Times New Roman"/>
                <w:kern w:val="0"/>
                <w:sz w:val="20"/>
              </w:rPr>
              <w:t>倍额定电压充电条件下，电池单体平均对外释放出的气体量应小于5</w:t>
            </w:r>
            <w:r>
              <w:rPr>
                <w:rFonts w:cs="Times New Roman"/>
                <w:kern w:val="0"/>
                <w:sz w:val="20"/>
              </w:rPr>
              <w:t>mL/(Wh</w:t>
            </w:r>
            <w:r>
              <w:rPr>
                <w:rFonts w:cs="Times New Roman"/>
                <w:kern w:val="0"/>
                <w:sz w:val="20"/>
              </w:rPr>
              <w:sym w:font="Wingdings 2" w:char="F095"/>
            </w:r>
            <w:r>
              <w:rPr>
                <w:rFonts w:cs="Times New Roman"/>
                <w:kern w:val="0"/>
                <w:sz w:val="20"/>
              </w:rPr>
              <w:t>h)</w:t>
            </w:r>
          </w:p>
        </w:tc>
      </w:tr>
      <w:tr w14:paraId="7D02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5B5CC0D2">
            <w:pPr>
              <w:pStyle w:val="44"/>
              <w:spacing w:before="0" w:beforeLines="0" w:after="0" w:afterLines="0"/>
              <w:ind w:firstLine="0" w:firstLineChars="0"/>
              <w:jc w:val="center"/>
              <w:rPr>
                <w:rFonts w:cs="Times New Roman"/>
                <w:kern w:val="0"/>
                <w:sz w:val="20"/>
              </w:rPr>
            </w:pPr>
          </w:p>
        </w:tc>
        <w:tc>
          <w:tcPr>
            <w:tcW w:w="1817" w:type="dxa"/>
            <w:vAlign w:val="center"/>
          </w:tcPr>
          <w:p w14:paraId="6C7CDDC2">
            <w:pPr>
              <w:pStyle w:val="44"/>
              <w:spacing w:before="0" w:beforeLines="0" w:after="0" w:afterLines="0"/>
              <w:ind w:firstLine="0" w:firstLineChars="0"/>
              <w:jc w:val="center"/>
              <w:rPr>
                <w:rFonts w:cs="Times New Roman"/>
                <w:kern w:val="0"/>
                <w:sz w:val="20"/>
              </w:rPr>
            </w:pPr>
            <w:r>
              <w:rPr>
                <w:rFonts w:hint="eastAsia" w:cs="Times New Roman"/>
                <w:kern w:val="0"/>
                <w:sz w:val="20"/>
              </w:rPr>
              <w:t>电池簇绝缘失效</w:t>
            </w:r>
          </w:p>
        </w:tc>
        <w:tc>
          <w:tcPr>
            <w:tcW w:w="6080" w:type="dxa"/>
            <w:vAlign w:val="center"/>
          </w:tcPr>
          <w:p w14:paraId="1C14A5B4">
            <w:pPr>
              <w:pStyle w:val="44"/>
              <w:spacing w:before="0" w:beforeLines="0" w:after="0" w:afterLines="0"/>
              <w:ind w:firstLine="0" w:firstLineChars="0"/>
              <w:jc w:val="center"/>
              <w:rPr>
                <w:rFonts w:cs="Times New Roman"/>
                <w:kern w:val="0"/>
                <w:sz w:val="20"/>
              </w:rPr>
            </w:pPr>
            <w:r>
              <w:rPr>
                <w:rFonts w:hint="eastAsia" w:cs="Times New Roman"/>
                <w:kern w:val="0"/>
                <w:sz w:val="20"/>
              </w:rPr>
              <w:t>绝缘性能小于2</w:t>
            </w:r>
            <w:r>
              <w:rPr>
                <w:rFonts w:cs="Times New Roman"/>
                <w:kern w:val="0"/>
                <w:sz w:val="20"/>
              </w:rPr>
              <w:t>000Ω</w:t>
            </w:r>
            <w:r>
              <w:rPr>
                <w:rFonts w:hint="eastAsia" w:cs="Times New Roman"/>
                <w:kern w:val="0"/>
                <w:sz w:val="20"/>
              </w:rPr>
              <w:t>/</w:t>
            </w:r>
            <w:r>
              <w:rPr>
                <w:rFonts w:cs="Times New Roman"/>
                <w:kern w:val="0"/>
                <w:sz w:val="20"/>
              </w:rPr>
              <w:t>V</w:t>
            </w:r>
            <w:r>
              <w:rPr>
                <w:rFonts w:hint="eastAsia" w:cs="Times New Roman"/>
                <w:kern w:val="0"/>
                <w:sz w:val="20"/>
              </w:rPr>
              <w:t>，或系统漏电大于1m</w:t>
            </w:r>
            <w:r>
              <w:rPr>
                <w:rFonts w:cs="Times New Roman"/>
                <w:kern w:val="0"/>
                <w:sz w:val="20"/>
              </w:rPr>
              <w:t>A</w:t>
            </w:r>
            <w:r>
              <w:rPr>
                <w:rFonts w:hint="eastAsia" w:cs="Times New Roman"/>
                <w:kern w:val="0"/>
                <w:sz w:val="20"/>
              </w:rPr>
              <w:t>，轻度风险；</w:t>
            </w:r>
          </w:p>
          <w:p w14:paraId="1D358F8F">
            <w:pPr>
              <w:pStyle w:val="44"/>
              <w:spacing w:before="0" w:beforeLines="0" w:after="0" w:afterLines="0"/>
              <w:ind w:firstLine="0" w:firstLineChars="0"/>
              <w:jc w:val="center"/>
              <w:rPr>
                <w:rFonts w:cs="Times New Roman"/>
                <w:kern w:val="0"/>
                <w:sz w:val="20"/>
              </w:rPr>
            </w:pPr>
            <w:r>
              <w:rPr>
                <w:rFonts w:hint="eastAsia" w:cs="Times New Roman"/>
                <w:kern w:val="0"/>
                <w:sz w:val="20"/>
              </w:rPr>
              <w:t>绝缘性能小于1</w:t>
            </w:r>
            <w:r>
              <w:rPr>
                <w:rFonts w:cs="Times New Roman"/>
                <w:kern w:val="0"/>
                <w:sz w:val="20"/>
              </w:rPr>
              <w:t>000Ω</w:t>
            </w:r>
            <w:r>
              <w:rPr>
                <w:rFonts w:hint="eastAsia" w:cs="Times New Roman"/>
                <w:kern w:val="0"/>
                <w:sz w:val="20"/>
              </w:rPr>
              <w:t>/</w:t>
            </w:r>
            <w:r>
              <w:rPr>
                <w:rFonts w:cs="Times New Roman"/>
                <w:kern w:val="0"/>
                <w:sz w:val="20"/>
              </w:rPr>
              <w:t>V</w:t>
            </w:r>
            <w:r>
              <w:rPr>
                <w:rFonts w:hint="eastAsia" w:cs="Times New Roman"/>
                <w:kern w:val="0"/>
                <w:sz w:val="20"/>
              </w:rPr>
              <w:t>，或系统漏电大于</w:t>
            </w:r>
            <w:r>
              <w:rPr>
                <w:rFonts w:cs="Times New Roman"/>
                <w:kern w:val="0"/>
                <w:sz w:val="20"/>
              </w:rPr>
              <w:t>5</w:t>
            </w:r>
            <w:r>
              <w:rPr>
                <w:rFonts w:hint="eastAsia" w:cs="Times New Roman"/>
                <w:kern w:val="0"/>
                <w:sz w:val="20"/>
              </w:rPr>
              <w:t>m</w:t>
            </w:r>
            <w:r>
              <w:rPr>
                <w:rFonts w:cs="Times New Roman"/>
                <w:kern w:val="0"/>
                <w:sz w:val="20"/>
              </w:rPr>
              <w:t>A</w:t>
            </w:r>
            <w:r>
              <w:rPr>
                <w:rFonts w:hint="eastAsia" w:cs="Times New Roman"/>
                <w:kern w:val="0"/>
                <w:sz w:val="20"/>
              </w:rPr>
              <w:t>，轻度风险中度风险；</w:t>
            </w:r>
          </w:p>
          <w:p w14:paraId="5DC0DA41">
            <w:pPr>
              <w:pStyle w:val="44"/>
              <w:spacing w:before="0" w:beforeLines="0" w:after="0" w:afterLines="0"/>
              <w:ind w:firstLine="0" w:firstLineChars="0"/>
              <w:jc w:val="center"/>
              <w:rPr>
                <w:rFonts w:cs="Times New Roman"/>
                <w:kern w:val="0"/>
                <w:sz w:val="20"/>
              </w:rPr>
            </w:pPr>
            <w:r>
              <w:rPr>
                <w:rFonts w:hint="eastAsia" w:cs="Times New Roman"/>
                <w:kern w:val="0"/>
                <w:sz w:val="20"/>
              </w:rPr>
              <w:t>绝缘性能小于5</w:t>
            </w:r>
            <w:r>
              <w:rPr>
                <w:rFonts w:cs="Times New Roman"/>
                <w:kern w:val="0"/>
                <w:sz w:val="20"/>
              </w:rPr>
              <w:t>00Ω</w:t>
            </w:r>
            <w:r>
              <w:rPr>
                <w:rFonts w:hint="eastAsia" w:cs="Times New Roman"/>
                <w:kern w:val="0"/>
                <w:sz w:val="20"/>
              </w:rPr>
              <w:t>/</w:t>
            </w:r>
            <w:r>
              <w:rPr>
                <w:rFonts w:cs="Times New Roman"/>
                <w:kern w:val="0"/>
                <w:sz w:val="20"/>
              </w:rPr>
              <w:t>V</w:t>
            </w:r>
            <w:r>
              <w:rPr>
                <w:rFonts w:hint="eastAsia" w:cs="Times New Roman"/>
                <w:kern w:val="0"/>
                <w:sz w:val="20"/>
              </w:rPr>
              <w:t>，或系统漏电大于1</w:t>
            </w:r>
            <w:r>
              <w:rPr>
                <w:rFonts w:cs="Times New Roman"/>
                <w:kern w:val="0"/>
                <w:sz w:val="20"/>
              </w:rPr>
              <w:t>0</w:t>
            </w:r>
            <w:r>
              <w:rPr>
                <w:rFonts w:hint="eastAsia" w:cs="Times New Roman"/>
                <w:kern w:val="0"/>
                <w:sz w:val="20"/>
              </w:rPr>
              <w:t>m</w:t>
            </w:r>
            <w:r>
              <w:rPr>
                <w:rFonts w:cs="Times New Roman"/>
                <w:kern w:val="0"/>
                <w:sz w:val="20"/>
              </w:rPr>
              <w:t>A</w:t>
            </w:r>
            <w:r>
              <w:rPr>
                <w:rFonts w:hint="eastAsia" w:cs="Times New Roman"/>
                <w:kern w:val="0"/>
                <w:sz w:val="20"/>
              </w:rPr>
              <w:t>，轻度风险高度风险；</w:t>
            </w:r>
          </w:p>
        </w:tc>
      </w:tr>
      <w:tr w14:paraId="29D5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5C27325A">
            <w:pPr>
              <w:pStyle w:val="44"/>
              <w:spacing w:before="0" w:beforeLines="0" w:after="0" w:afterLines="0"/>
              <w:ind w:firstLine="0" w:firstLineChars="0"/>
              <w:jc w:val="center"/>
              <w:rPr>
                <w:rFonts w:cs="Times New Roman"/>
                <w:kern w:val="0"/>
                <w:sz w:val="20"/>
              </w:rPr>
            </w:pPr>
          </w:p>
        </w:tc>
        <w:tc>
          <w:tcPr>
            <w:tcW w:w="1817" w:type="dxa"/>
            <w:vAlign w:val="center"/>
          </w:tcPr>
          <w:p w14:paraId="3A571CD4">
            <w:pPr>
              <w:pStyle w:val="44"/>
              <w:spacing w:before="0" w:beforeLines="0" w:after="0" w:afterLines="0"/>
              <w:ind w:firstLine="0" w:firstLineChars="0"/>
              <w:jc w:val="center"/>
              <w:rPr>
                <w:rFonts w:cs="Times New Roman"/>
                <w:kern w:val="0"/>
                <w:sz w:val="20"/>
              </w:rPr>
            </w:pPr>
            <w:r>
              <w:rPr>
                <w:rFonts w:hint="eastAsia" w:cs="Times New Roman"/>
                <w:kern w:val="0"/>
                <w:sz w:val="20"/>
              </w:rPr>
              <w:t>电池单体一致性下降</w:t>
            </w:r>
          </w:p>
        </w:tc>
        <w:tc>
          <w:tcPr>
            <w:tcW w:w="6080" w:type="dxa"/>
            <w:vAlign w:val="center"/>
          </w:tcPr>
          <w:p w14:paraId="5081CEBE">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电池单体间最大电压差值/健康状态最大差值达到2</w:t>
            </w:r>
            <w:r>
              <w:rPr>
                <w:rFonts w:cs="Times New Roman"/>
                <w:kern w:val="0"/>
                <w:sz w:val="20"/>
              </w:rPr>
              <w:t>%</w:t>
            </w:r>
            <w:r>
              <w:rPr>
                <w:rFonts w:hint="eastAsia" w:cs="Times New Roman"/>
                <w:kern w:val="0"/>
                <w:sz w:val="20"/>
              </w:rPr>
              <w:t>，或正负极柱温度差达到</w:t>
            </w:r>
            <w:r>
              <w:rPr>
                <w:rFonts w:cs="Times New Roman"/>
                <w:kern w:val="0"/>
                <w:sz w:val="20"/>
              </w:rPr>
              <w:t>10</w:t>
            </w:r>
            <w:r>
              <w:rPr>
                <w:rFonts w:hint="eastAsia" w:cs="Times New Roman"/>
                <w:kern w:val="0"/>
                <w:sz w:val="20"/>
              </w:rPr>
              <w:t>℃，轻度风险；</w:t>
            </w:r>
          </w:p>
          <w:p w14:paraId="18861CEE">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电池单体间最大电压差值/健康状态最大差值达到</w:t>
            </w:r>
            <w:r>
              <w:rPr>
                <w:rFonts w:cs="Times New Roman"/>
                <w:kern w:val="0"/>
                <w:sz w:val="20"/>
              </w:rPr>
              <w:t>5%</w:t>
            </w:r>
            <w:r>
              <w:rPr>
                <w:rFonts w:hint="eastAsia" w:cs="Times New Roman"/>
                <w:kern w:val="0"/>
                <w:sz w:val="20"/>
              </w:rPr>
              <w:t>，或正负极柱温度差达到</w:t>
            </w:r>
            <w:r>
              <w:rPr>
                <w:rFonts w:cs="Times New Roman"/>
                <w:kern w:val="0"/>
                <w:sz w:val="20"/>
              </w:rPr>
              <w:t>15</w:t>
            </w:r>
            <w:r>
              <w:rPr>
                <w:rFonts w:hint="eastAsia" w:cs="Times New Roman"/>
                <w:kern w:val="0"/>
                <w:sz w:val="20"/>
              </w:rPr>
              <w:t>℃，中度风险；</w:t>
            </w:r>
          </w:p>
          <w:p w14:paraId="78868639">
            <w:pPr>
              <w:pStyle w:val="44"/>
              <w:spacing w:before="0" w:beforeLines="0" w:after="0" w:afterLines="0"/>
              <w:ind w:firstLine="0" w:firstLineChars="0"/>
              <w:jc w:val="center"/>
              <w:rPr>
                <w:rFonts w:cs="Times New Roman"/>
                <w:kern w:val="0"/>
                <w:sz w:val="20"/>
              </w:rPr>
            </w:pPr>
            <w:r>
              <w:rPr>
                <w:rFonts w:hint="eastAsia" w:cs="Times New Roman"/>
                <w:kern w:val="0"/>
                <w:sz w:val="20"/>
              </w:rPr>
              <w:t>电池单体间最大电压差值/健康状态最大差值达到1</w:t>
            </w:r>
            <w:r>
              <w:rPr>
                <w:rFonts w:cs="Times New Roman"/>
                <w:kern w:val="0"/>
                <w:sz w:val="20"/>
              </w:rPr>
              <w:t>0%</w:t>
            </w:r>
            <w:r>
              <w:rPr>
                <w:rFonts w:hint="eastAsia" w:cs="Times New Roman"/>
                <w:kern w:val="0"/>
                <w:sz w:val="20"/>
              </w:rPr>
              <w:t>，或正负极柱温度差达到</w:t>
            </w:r>
            <w:r>
              <w:rPr>
                <w:rFonts w:cs="Times New Roman"/>
                <w:kern w:val="0"/>
                <w:sz w:val="20"/>
              </w:rPr>
              <w:t>20</w:t>
            </w:r>
            <w:r>
              <w:rPr>
                <w:rFonts w:hint="eastAsia" w:cs="Times New Roman"/>
                <w:kern w:val="0"/>
                <w:sz w:val="20"/>
              </w:rPr>
              <w:t>℃，高度风险；</w:t>
            </w:r>
          </w:p>
        </w:tc>
      </w:tr>
      <w:tr w14:paraId="123E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restart"/>
            <w:vAlign w:val="center"/>
          </w:tcPr>
          <w:p w14:paraId="5730D2A7">
            <w:pPr>
              <w:pStyle w:val="44"/>
              <w:spacing w:before="0" w:beforeLines="0" w:after="0" w:afterLines="0"/>
              <w:ind w:firstLine="0" w:firstLineChars="0"/>
              <w:jc w:val="center"/>
              <w:rPr>
                <w:rFonts w:cs="Times New Roman"/>
                <w:kern w:val="0"/>
                <w:sz w:val="20"/>
              </w:rPr>
            </w:pPr>
            <w:r>
              <w:rPr>
                <w:rFonts w:hint="eastAsia" w:cs="Times New Roman"/>
                <w:kern w:val="0"/>
                <w:sz w:val="20"/>
              </w:rPr>
              <w:t>液流电池</w:t>
            </w:r>
          </w:p>
        </w:tc>
        <w:tc>
          <w:tcPr>
            <w:tcW w:w="1817" w:type="dxa"/>
            <w:vAlign w:val="center"/>
          </w:tcPr>
          <w:p w14:paraId="0E7AA102">
            <w:pPr>
              <w:pStyle w:val="44"/>
              <w:spacing w:before="0" w:beforeLines="0" w:after="0" w:afterLines="0"/>
              <w:ind w:firstLine="0" w:firstLineChars="0"/>
              <w:jc w:val="center"/>
              <w:rPr>
                <w:rFonts w:cs="Times New Roman"/>
                <w:kern w:val="0"/>
                <w:sz w:val="20"/>
              </w:rPr>
            </w:pPr>
            <w:r>
              <w:rPr>
                <w:rFonts w:hint="eastAsia" w:cs="Times New Roman"/>
                <w:kern w:val="0"/>
                <w:sz w:val="20"/>
              </w:rPr>
              <w:t>工作温度异常</w:t>
            </w:r>
          </w:p>
        </w:tc>
        <w:tc>
          <w:tcPr>
            <w:tcW w:w="6080" w:type="dxa"/>
            <w:vAlign w:val="center"/>
          </w:tcPr>
          <w:p w14:paraId="302BE031">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30</w:t>
            </w:r>
            <w:r>
              <w:rPr>
                <w:rFonts w:hint="eastAsia" w:cs="Times New Roman"/>
                <w:kern w:val="0"/>
                <w:sz w:val="20"/>
              </w:rPr>
              <w:t>℃</w:t>
            </w:r>
            <w:r>
              <w:rPr>
                <w:rFonts w:cs="Times New Roman"/>
                <w:kern w:val="0"/>
                <w:sz w:val="20"/>
              </w:rPr>
              <w:t>~-20</w:t>
            </w:r>
            <w:r>
              <w:rPr>
                <w:rFonts w:hint="eastAsia" w:cs="Times New Roman"/>
                <w:kern w:val="0"/>
                <w:sz w:val="20"/>
              </w:rPr>
              <w:t>℃或</w:t>
            </w:r>
            <w:r>
              <w:rPr>
                <w:rFonts w:cs="Times New Roman"/>
                <w:kern w:val="0"/>
                <w:sz w:val="20"/>
              </w:rPr>
              <w:t>40</w:t>
            </w:r>
            <w:r>
              <w:rPr>
                <w:rFonts w:hint="eastAsia" w:cs="Times New Roman"/>
                <w:kern w:val="0"/>
                <w:sz w:val="20"/>
              </w:rPr>
              <w:t>℃</w:t>
            </w:r>
            <w:r>
              <w:rPr>
                <w:rFonts w:cs="Times New Roman"/>
                <w:kern w:val="0"/>
                <w:sz w:val="20"/>
              </w:rPr>
              <w:t>~50</w:t>
            </w:r>
            <w:r>
              <w:rPr>
                <w:rFonts w:hint="eastAsia" w:cs="Times New Roman"/>
                <w:kern w:val="0"/>
                <w:sz w:val="20"/>
              </w:rPr>
              <w:t>℃，轻微风险；</w:t>
            </w:r>
          </w:p>
          <w:p w14:paraId="155E27AF">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w:t>
            </w:r>
            <w:r>
              <w:rPr>
                <w:rFonts w:cs="Times New Roman"/>
                <w:kern w:val="0"/>
                <w:sz w:val="20"/>
              </w:rPr>
              <w:t>~-30</w:t>
            </w:r>
            <w:r>
              <w:rPr>
                <w:rFonts w:hint="eastAsia" w:cs="Times New Roman"/>
                <w:kern w:val="0"/>
                <w:sz w:val="20"/>
              </w:rPr>
              <w:t>℃或</w:t>
            </w:r>
            <w:r>
              <w:rPr>
                <w:rFonts w:cs="Times New Roman"/>
                <w:kern w:val="0"/>
                <w:sz w:val="20"/>
              </w:rPr>
              <w:t>50</w:t>
            </w:r>
            <w:r>
              <w:rPr>
                <w:rFonts w:hint="eastAsia" w:cs="Times New Roman"/>
                <w:kern w:val="0"/>
                <w:sz w:val="20"/>
              </w:rPr>
              <w:t>℃</w:t>
            </w:r>
            <w:r>
              <w:rPr>
                <w:rFonts w:cs="Times New Roman"/>
                <w:kern w:val="0"/>
                <w:sz w:val="20"/>
              </w:rPr>
              <w:t>~60</w:t>
            </w:r>
            <w:r>
              <w:rPr>
                <w:rFonts w:hint="eastAsia" w:cs="Times New Roman"/>
                <w:kern w:val="0"/>
                <w:sz w:val="20"/>
              </w:rPr>
              <w:t>℃，中度风险；</w:t>
            </w:r>
          </w:p>
          <w:p w14:paraId="3E54AE71">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℃以下或</w:t>
            </w:r>
            <w:r>
              <w:rPr>
                <w:rFonts w:cs="Times New Roman"/>
                <w:kern w:val="0"/>
                <w:sz w:val="20"/>
              </w:rPr>
              <w:t>60</w:t>
            </w:r>
            <w:r>
              <w:rPr>
                <w:rFonts w:hint="eastAsia" w:cs="Times New Roman"/>
                <w:kern w:val="0"/>
                <w:sz w:val="20"/>
              </w:rPr>
              <w:t>℃以上，高度风险；</w:t>
            </w:r>
          </w:p>
        </w:tc>
      </w:tr>
      <w:tr w14:paraId="7297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2E6EC844">
            <w:pPr>
              <w:pStyle w:val="44"/>
              <w:spacing w:before="0" w:beforeLines="0" w:after="0" w:afterLines="0"/>
              <w:ind w:firstLine="0" w:firstLineChars="0"/>
              <w:jc w:val="center"/>
              <w:rPr>
                <w:rFonts w:cs="Times New Roman"/>
                <w:kern w:val="0"/>
                <w:sz w:val="20"/>
              </w:rPr>
            </w:pPr>
          </w:p>
        </w:tc>
        <w:tc>
          <w:tcPr>
            <w:tcW w:w="1817" w:type="dxa"/>
            <w:vAlign w:val="center"/>
          </w:tcPr>
          <w:p w14:paraId="6FD0794B">
            <w:pPr>
              <w:pStyle w:val="44"/>
              <w:spacing w:before="0" w:beforeLines="0" w:after="0" w:afterLines="0"/>
              <w:ind w:firstLine="0" w:firstLineChars="0"/>
              <w:jc w:val="center"/>
              <w:rPr>
                <w:rFonts w:cs="Times New Roman"/>
                <w:kern w:val="0"/>
                <w:sz w:val="20"/>
              </w:rPr>
            </w:pPr>
            <w:r>
              <w:rPr>
                <w:rFonts w:hint="eastAsia" w:cs="Times New Roman"/>
                <w:kern w:val="0"/>
                <w:sz w:val="20"/>
              </w:rPr>
              <w:t>液体安全异常</w:t>
            </w:r>
          </w:p>
        </w:tc>
        <w:tc>
          <w:tcPr>
            <w:tcW w:w="6080" w:type="dxa"/>
            <w:vAlign w:val="center"/>
          </w:tcPr>
          <w:p w14:paraId="56458BF3">
            <w:pPr>
              <w:pStyle w:val="44"/>
              <w:spacing w:before="0" w:beforeLines="0" w:after="0" w:afterLines="0"/>
              <w:ind w:firstLine="0" w:firstLineChars="0"/>
              <w:jc w:val="center"/>
              <w:rPr>
                <w:rFonts w:cs="Times New Roman"/>
                <w:kern w:val="0"/>
                <w:sz w:val="20"/>
              </w:rPr>
            </w:pPr>
            <w:r>
              <w:rPr>
                <w:rFonts w:hint="eastAsia" w:cs="Times New Roman"/>
                <w:kern w:val="0"/>
                <w:sz w:val="20"/>
              </w:rPr>
              <w:t>腐蚀性电解液发生泄漏，中度风险；</w:t>
            </w:r>
          </w:p>
          <w:p w14:paraId="3E45FE83">
            <w:pPr>
              <w:pStyle w:val="44"/>
              <w:spacing w:before="0" w:beforeLines="0" w:after="0" w:afterLines="0"/>
              <w:ind w:firstLine="0" w:firstLineChars="0"/>
              <w:jc w:val="center"/>
              <w:rPr>
                <w:rFonts w:cs="Times New Roman"/>
                <w:kern w:val="0"/>
                <w:sz w:val="20"/>
              </w:rPr>
            </w:pPr>
            <w:r>
              <w:rPr>
                <w:rFonts w:hint="eastAsia" w:cs="Times New Roman"/>
                <w:kern w:val="0"/>
                <w:sz w:val="20"/>
              </w:rPr>
              <w:t>腐蚀性电解液发生泄漏且监控预警系统未报警，高度风险；</w:t>
            </w:r>
          </w:p>
        </w:tc>
      </w:tr>
      <w:tr w14:paraId="1511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restart"/>
            <w:vAlign w:val="center"/>
          </w:tcPr>
          <w:p w14:paraId="7A85CBC3">
            <w:pPr>
              <w:pStyle w:val="44"/>
              <w:spacing w:before="0" w:beforeLines="0" w:after="0" w:afterLines="0"/>
              <w:ind w:firstLine="0" w:firstLineChars="0"/>
              <w:jc w:val="center"/>
              <w:rPr>
                <w:rFonts w:cs="Times New Roman"/>
                <w:kern w:val="0"/>
                <w:sz w:val="20"/>
              </w:rPr>
            </w:pPr>
            <w:r>
              <w:rPr>
                <w:rFonts w:hint="eastAsia" w:cs="Times New Roman"/>
                <w:kern w:val="0"/>
                <w:sz w:val="20"/>
              </w:rPr>
              <w:t>氢燃料电池</w:t>
            </w:r>
          </w:p>
        </w:tc>
        <w:tc>
          <w:tcPr>
            <w:tcW w:w="1817" w:type="dxa"/>
            <w:vAlign w:val="center"/>
          </w:tcPr>
          <w:p w14:paraId="6767BC02">
            <w:pPr>
              <w:pStyle w:val="44"/>
              <w:spacing w:before="0" w:beforeLines="0" w:after="0" w:afterLines="0"/>
              <w:ind w:firstLine="0" w:firstLineChars="0"/>
              <w:jc w:val="center"/>
              <w:rPr>
                <w:rFonts w:cs="Times New Roman"/>
                <w:kern w:val="0"/>
                <w:sz w:val="20"/>
              </w:rPr>
            </w:pPr>
            <w:r>
              <w:rPr>
                <w:rFonts w:hint="eastAsia" w:cs="Times New Roman"/>
                <w:kern w:val="0"/>
                <w:sz w:val="20"/>
              </w:rPr>
              <w:t>工作温度异常</w:t>
            </w:r>
          </w:p>
        </w:tc>
        <w:tc>
          <w:tcPr>
            <w:tcW w:w="6080" w:type="dxa"/>
            <w:vAlign w:val="center"/>
          </w:tcPr>
          <w:p w14:paraId="256573F4">
            <w:pPr>
              <w:pStyle w:val="44"/>
              <w:spacing w:before="0" w:beforeLines="0" w:after="0" w:afterLines="0"/>
              <w:ind w:firstLine="0" w:firstLineChars="0"/>
              <w:jc w:val="center"/>
              <w:rPr>
                <w:rFonts w:cs="Times New Roman"/>
                <w:kern w:val="0"/>
                <w:sz w:val="20"/>
              </w:rPr>
            </w:pPr>
            <w:r>
              <w:rPr>
                <w:rFonts w:hint="eastAsia" w:cs="Times New Roman"/>
                <w:kern w:val="0"/>
                <w:sz w:val="20"/>
              </w:rPr>
              <w:t>质子交换膜燃料电池工作在</w:t>
            </w:r>
            <w:r>
              <w:rPr>
                <w:rFonts w:cs="Times New Roman"/>
                <w:kern w:val="0"/>
                <w:sz w:val="20"/>
              </w:rPr>
              <w:t>70</w:t>
            </w:r>
            <w:r>
              <w:rPr>
                <w:rFonts w:hint="eastAsia" w:cs="Times New Roman"/>
                <w:kern w:val="0"/>
                <w:sz w:val="20"/>
              </w:rPr>
              <w:t>-</w:t>
            </w:r>
            <w:r>
              <w:rPr>
                <w:rFonts w:cs="Times New Roman"/>
                <w:kern w:val="0"/>
                <w:sz w:val="20"/>
              </w:rPr>
              <w:t>80</w:t>
            </w:r>
            <w:r>
              <w:rPr>
                <w:rFonts w:hint="eastAsia" w:cs="Times New Roman"/>
                <w:kern w:val="0"/>
                <w:sz w:val="20"/>
              </w:rPr>
              <w:t>℃1</w:t>
            </w:r>
            <w:r>
              <w:rPr>
                <w:rFonts w:cs="Times New Roman"/>
                <w:kern w:val="0"/>
                <w:sz w:val="20"/>
              </w:rPr>
              <w:t>0</w:t>
            </w:r>
            <w:r>
              <w:rPr>
                <w:rFonts w:hint="eastAsia" w:cs="Times New Roman"/>
                <w:kern w:val="0"/>
                <w:sz w:val="20"/>
              </w:rPr>
              <w:t>分钟及以上，固体氧化物燃料电池工作在8</w:t>
            </w:r>
            <w:r>
              <w:rPr>
                <w:rFonts w:cs="Times New Roman"/>
                <w:kern w:val="0"/>
                <w:sz w:val="20"/>
              </w:rPr>
              <w:t>00-900</w:t>
            </w:r>
            <w:r>
              <w:rPr>
                <w:rFonts w:hint="eastAsia" w:cs="Times New Roman"/>
                <w:kern w:val="0"/>
                <w:sz w:val="20"/>
              </w:rPr>
              <w:t>℃</w:t>
            </w:r>
            <w:r>
              <w:rPr>
                <w:rFonts w:cs="Times New Roman"/>
                <w:kern w:val="0"/>
                <w:sz w:val="20"/>
              </w:rPr>
              <w:t>10</w:t>
            </w:r>
            <w:r>
              <w:rPr>
                <w:rFonts w:hint="eastAsia" w:cs="Times New Roman"/>
                <w:kern w:val="0"/>
                <w:sz w:val="20"/>
              </w:rPr>
              <w:t xml:space="preserve">分钟及以上，轻微风险； </w:t>
            </w:r>
          </w:p>
          <w:p w14:paraId="10C609AB">
            <w:pPr>
              <w:pStyle w:val="44"/>
              <w:spacing w:before="0" w:beforeLines="0" w:after="0" w:afterLines="0"/>
              <w:ind w:firstLine="0" w:firstLineChars="0"/>
              <w:jc w:val="center"/>
              <w:rPr>
                <w:rFonts w:cs="Times New Roman"/>
                <w:kern w:val="0"/>
                <w:sz w:val="20"/>
              </w:rPr>
            </w:pPr>
            <w:r>
              <w:rPr>
                <w:rFonts w:hint="eastAsia" w:cs="Times New Roman"/>
                <w:kern w:val="0"/>
                <w:sz w:val="20"/>
              </w:rPr>
              <w:t>质子交换膜燃料电池工作在</w:t>
            </w:r>
            <w:r>
              <w:rPr>
                <w:rFonts w:cs="Times New Roman"/>
                <w:kern w:val="0"/>
                <w:sz w:val="20"/>
              </w:rPr>
              <w:t>80-90</w:t>
            </w:r>
            <w:r>
              <w:rPr>
                <w:rFonts w:hint="eastAsia" w:cs="Times New Roman"/>
                <w:kern w:val="0"/>
                <w:sz w:val="20"/>
              </w:rPr>
              <w:t>℃5分钟及以上，固体氧化物燃料电池工作在</w:t>
            </w:r>
            <w:r>
              <w:rPr>
                <w:rFonts w:cs="Times New Roman"/>
                <w:kern w:val="0"/>
                <w:sz w:val="20"/>
              </w:rPr>
              <w:t>900-1000</w:t>
            </w:r>
            <w:r>
              <w:rPr>
                <w:rFonts w:hint="eastAsia" w:cs="Times New Roman"/>
                <w:kern w:val="0"/>
                <w:sz w:val="20"/>
              </w:rPr>
              <w:t>℃5分钟及以上，中度风险；</w:t>
            </w:r>
          </w:p>
          <w:p w14:paraId="5445DAFE">
            <w:pPr>
              <w:pStyle w:val="44"/>
              <w:spacing w:before="0" w:beforeLines="0" w:after="0" w:afterLines="0"/>
              <w:ind w:firstLine="0" w:firstLineChars="0"/>
              <w:jc w:val="center"/>
              <w:rPr>
                <w:rFonts w:cs="Times New Roman"/>
                <w:kern w:val="0"/>
                <w:sz w:val="20"/>
              </w:rPr>
            </w:pPr>
            <w:r>
              <w:rPr>
                <w:rFonts w:hint="eastAsia" w:cs="Times New Roman"/>
                <w:kern w:val="0"/>
                <w:sz w:val="20"/>
              </w:rPr>
              <w:t>质子交换膜燃料电池工作在</w:t>
            </w:r>
            <w:r>
              <w:rPr>
                <w:rFonts w:cs="Times New Roman"/>
                <w:kern w:val="0"/>
                <w:sz w:val="20"/>
              </w:rPr>
              <w:t>90-100</w:t>
            </w:r>
            <w:r>
              <w:rPr>
                <w:rFonts w:hint="eastAsia" w:cs="Times New Roman"/>
                <w:kern w:val="0"/>
                <w:sz w:val="20"/>
              </w:rPr>
              <w:t>℃2分钟及以上，固体氧化物燃料电池工作在</w:t>
            </w:r>
            <w:r>
              <w:rPr>
                <w:rFonts w:cs="Times New Roman"/>
                <w:kern w:val="0"/>
                <w:sz w:val="20"/>
              </w:rPr>
              <w:t>100-1100</w:t>
            </w:r>
            <w:r>
              <w:rPr>
                <w:rFonts w:hint="eastAsia" w:cs="Times New Roman"/>
                <w:kern w:val="0"/>
                <w:sz w:val="20"/>
              </w:rPr>
              <w:t>℃2分钟及以上，高度风险；</w:t>
            </w:r>
          </w:p>
        </w:tc>
      </w:tr>
      <w:tr w14:paraId="1779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13B5AFCF">
            <w:pPr>
              <w:pStyle w:val="44"/>
              <w:spacing w:before="0" w:beforeLines="0" w:after="0" w:afterLines="0"/>
              <w:ind w:firstLine="0" w:firstLineChars="0"/>
              <w:jc w:val="center"/>
              <w:rPr>
                <w:rFonts w:cs="Times New Roman"/>
                <w:kern w:val="0"/>
                <w:sz w:val="20"/>
              </w:rPr>
            </w:pPr>
          </w:p>
        </w:tc>
        <w:tc>
          <w:tcPr>
            <w:tcW w:w="1817" w:type="dxa"/>
            <w:vAlign w:val="center"/>
          </w:tcPr>
          <w:p w14:paraId="7C6FD3A5">
            <w:pPr>
              <w:pStyle w:val="44"/>
              <w:spacing w:before="0" w:beforeLines="0" w:after="0" w:afterLines="0"/>
              <w:ind w:firstLine="0" w:firstLineChars="0"/>
              <w:jc w:val="center"/>
              <w:rPr>
                <w:rFonts w:cs="Times New Roman"/>
                <w:kern w:val="0"/>
                <w:sz w:val="20"/>
              </w:rPr>
            </w:pPr>
            <w:r>
              <w:rPr>
                <w:rFonts w:hint="eastAsia" w:cs="Times New Roman"/>
                <w:kern w:val="0"/>
                <w:sz w:val="20"/>
              </w:rPr>
              <w:t>储能电池一致性下降</w:t>
            </w:r>
          </w:p>
        </w:tc>
        <w:tc>
          <w:tcPr>
            <w:tcW w:w="6080" w:type="dxa"/>
            <w:vAlign w:val="center"/>
          </w:tcPr>
          <w:p w14:paraId="2FCB6C54">
            <w:pPr>
              <w:pStyle w:val="44"/>
              <w:spacing w:before="0" w:beforeLines="0" w:after="0" w:afterLines="0"/>
              <w:ind w:firstLine="0" w:firstLineChars="0"/>
              <w:jc w:val="center"/>
              <w:rPr>
                <w:rFonts w:cs="Times New Roman"/>
                <w:kern w:val="0"/>
                <w:sz w:val="20"/>
              </w:rPr>
            </w:pPr>
            <w:r>
              <w:rPr>
                <w:rFonts w:hint="eastAsia" w:cs="Times New Roman"/>
                <w:kern w:val="0"/>
                <w:sz w:val="20"/>
              </w:rPr>
              <w:t>电池最大单片膜电极电压态最大差值达到2</w:t>
            </w:r>
            <w:r>
              <w:rPr>
                <w:rFonts w:cs="Times New Roman"/>
                <w:kern w:val="0"/>
                <w:sz w:val="20"/>
              </w:rPr>
              <w:t>%</w:t>
            </w:r>
            <w:r>
              <w:rPr>
                <w:rFonts w:hint="eastAsia" w:cs="Times New Roman"/>
                <w:kern w:val="0"/>
                <w:sz w:val="20"/>
              </w:rPr>
              <w:t>，或不同电池箱/架间最大工作温度差达到</w:t>
            </w:r>
            <w:r>
              <w:rPr>
                <w:rFonts w:cs="Times New Roman"/>
                <w:kern w:val="0"/>
                <w:sz w:val="20"/>
              </w:rPr>
              <w:t>5</w:t>
            </w:r>
            <w:r>
              <w:rPr>
                <w:rFonts w:hint="eastAsia" w:cs="Times New Roman"/>
                <w:kern w:val="0"/>
                <w:sz w:val="20"/>
              </w:rPr>
              <w:t>℃，轻度风险；</w:t>
            </w:r>
          </w:p>
          <w:p w14:paraId="1B8C86BA">
            <w:pPr>
              <w:pStyle w:val="44"/>
              <w:spacing w:before="0" w:beforeLines="0" w:after="0" w:afterLines="0"/>
              <w:ind w:firstLine="0" w:firstLineChars="0"/>
              <w:jc w:val="center"/>
              <w:rPr>
                <w:rFonts w:cs="Times New Roman"/>
                <w:kern w:val="0"/>
                <w:sz w:val="20"/>
              </w:rPr>
            </w:pPr>
            <w:r>
              <w:rPr>
                <w:rFonts w:hint="eastAsia" w:cs="Times New Roman"/>
                <w:kern w:val="0"/>
                <w:sz w:val="20"/>
              </w:rPr>
              <w:t>电池最大单片膜电极电压态最大差值达到5</w:t>
            </w:r>
            <w:r>
              <w:rPr>
                <w:rFonts w:cs="Times New Roman"/>
                <w:kern w:val="0"/>
                <w:sz w:val="20"/>
              </w:rPr>
              <w:t>%</w:t>
            </w:r>
            <w:r>
              <w:rPr>
                <w:rFonts w:hint="eastAsia" w:cs="Times New Roman"/>
                <w:kern w:val="0"/>
                <w:sz w:val="20"/>
              </w:rPr>
              <w:t>，或不同电池箱/架间最大工作温度差达到1</w:t>
            </w:r>
            <w:r>
              <w:rPr>
                <w:rFonts w:cs="Times New Roman"/>
                <w:kern w:val="0"/>
                <w:sz w:val="20"/>
              </w:rPr>
              <w:t>0</w:t>
            </w:r>
            <w:r>
              <w:rPr>
                <w:rFonts w:hint="eastAsia" w:cs="Times New Roman"/>
                <w:kern w:val="0"/>
                <w:sz w:val="20"/>
              </w:rPr>
              <w:t>℃，中度风险；</w:t>
            </w:r>
          </w:p>
          <w:p w14:paraId="3BEE6DFD">
            <w:pPr>
              <w:pStyle w:val="44"/>
              <w:spacing w:before="0" w:beforeLines="0" w:after="0" w:afterLines="0"/>
              <w:ind w:firstLine="0" w:firstLineChars="0"/>
              <w:jc w:val="center"/>
              <w:rPr>
                <w:rFonts w:cs="Times New Roman"/>
                <w:kern w:val="0"/>
                <w:sz w:val="20"/>
              </w:rPr>
            </w:pPr>
            <w:r>
              <w:rPr>
                <w:rFonts w:hint="eastAsia" w:cs="Times New Roman"/>
                <w:kern w:val="0"/>
                <w:sz w:val="20"/>
              </w:rPr>
              <w:t>电池最大单片膜电极电压态最大差值达到1</w:t>
            </w:r>
            <w:r>
              <w:rPr>
                <w:rFonts w:cs="Times New Roman"/>
                <w:kern w:val="0"/>
                <w:sz w:val="20"/>
              </w:rPr>
              <w:t>0%</w:t>
            </w:r>
            <w:r>
              <w:rPr>
                <w:rFonts w:hint="eastAsia" w:cs="Times New Roman"/>
                <w:kern w:val="0"/>
                <w:sz w:val="20"/>
              </w:rPr>
              <w:t>，或不同电池箱/架间最大工作温度差达到1</w:t>
            </w:r>
            <w:r>
              <w:rPr>
                <w:rFonts w:cs="Times New Roman"/>
                <w:kern w:val="0"/>
                <w:sz w:val="20"/>
              </w:rPr>
              <w:t>5</w:t>
            </w:r>
            <w:r>
              <w:rPr>
                <w:rFonts w:hint="eastAsia" w:cs="Times New Roman"/>
                <w:kern w:val="0"/>
                <w:sz w:val="20"/>
              </w:rPr>
              <w:t xml:space="preserve">℃，高度风险； </w:t>
            </w:r>
          </w:p>
        </w:tc>
      </w:tr>
      <w:tr w14:paraId="10F4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9" w:type="dxa"/>
            <w:vMerge w:val="continue"/>
            <w:vAlign w:val="center"/>
          </w:tcPr>
          <w:p w14:paraId="2BB81AF0">
            <w:pPr>
              <w:pStyle w:val="44"/>
              <w:spacing w:before="0" w:beforeLines="0" w:after="0" w:afterLines="0"/>
              <w:ind w:firstLine="0" w:firstLineChars="0"/>
              <w:jc w:val="center"/>
              <w:rPr>
                <w:rFonts w:cs="Times New Roman"/>
                <w:kern w:val="0"/>
                <w:sz w:val="20"/>
              </w:rPr>
            </w:pPr>
          </w:p>
        </w:tc>
        <w:tc>
          <w:tcPr>
            <w:tcW w:w="1817" w:type="dxa"/>
            <w:vAlign w:val="center"/>
          </w:tcPr>
          <w:p w14:paraId="59855949">
            <w:pPr>
              <w:pStyle w:val="44"/>
              <w:spacing w:before="0" w:beforeLines="0" w:after="0" w:afterLines="0"/>
              <w:ind w:firstLine="0" w:firstLineChars="0"/>
              <w:jc w:val="center"/>
              <w:rPr>
                <w:rFonts w:cs="Times New Roman"/>
                <w:kern w:val="0"/>
                <w:sz w:val="20"/>
              </w:rPr>
            </w:pPr>
            <w:r>
              <w:rPr>
                <w:rFonts w:hint="eastAsia" w:cs="Times New Roman"/>
                <w:kern w:val="0"/>
                <w:sz w:val="20"/>
              </w:rPr>
              <w:t>氢气安全异常</w:t>
            </w:r>
          </w:p>
        </w:tc>
        <w:tc>
          <w:tcPr>
            <w:tcW w:w="6080" w:type="dxa"/>
            <w:vAlign w:val="center"/>
          </w:tcPr>
          <w:p w14:paraId="6A30BB03">
            <w:pPr>
              <w:pStyle w:val="44"/>
              <w:spacing w:before="0" w:beforeLines="0" w:after="0" w:afterLines="0"/>
              <w:ind w:firstLine="0" w:firstLineChars="0"/>
              <w:jc w:val="center"/>
              <w:rPr>
                <w:rFonts w:cs="Times New Roman"/>
                <w:kern w:val="0"/>
                <w:sz w:val="20"/>
              </w:rPr>
            </w:pPr>
            <w:r>
              <w:rPr>
                <w:rFonts w:hint="eastAsia" w:cs="Times New Roman"/>
                <w:kern w:val="0"/>
                <w:sz w:val="20"/>
              </w:rPr>
              <w:t>氢气发生泄漏（＞4</w:t>
            </w:r>
            <w:r>
              <w:rPr>
                <w:rFonts w:cs="Times New Roman"/>
                <w:kern w:val="0"/>
                <w:sz w:val="20"/>
              </w:rPr>
              <w:t>0000</w:t>
            </w:r>
            <w:r>
              <w:rPr>
                <w:rFonts w:hint="eastAsia" w:cs="Times New Roman"/>
                <w:kern w:val="0"/>
                <w:sz w:val="20"/>
              </w:rPr>
              <w:t>ppm），中度风险；</w:t>
            </w:r>
          </w:p>
          <w:p w14:paraId="4EE19C11">
            <w:pPr>
              <w:pStyle w:val="44"/>
              <w:spacing w:before="0" w:beforeLines="0" w:after="0" w:afterLines="0"/>
              <w:ind w:firstLine="0" w:firstLineChars="0"/>
              <w:jc w:val="center"/>
              <w:rPr>
                <w:rFonts w:cs="Times New Roman"/>
                <w:kern w:val="0"/>
                <w:sz w:val="20"/>
              </w:rPr>
            </w:pPr>
            <w:r>
              <w:rPr>
                <w:rFonts w:hint="eastAsia" w:cs="Times New Roman"/>
                <w:kern w:val="0"/>
                <w:sz w:val="20"/>
              </w:rPr>
              <w:t>氢气发生泄漏（＞4</w:t>
            </w:r>
            <w:r>
              <w:rPr>
                <w:rFonts w:cs="Times New Roman"/>
                <w:kern w:val="0"/>
                <w:sz w:val="20"/>
              </w:rPr>
              <w:t>0000</w:t>
            </w:r>
            <w:r>
              <w:rPr>
                <w:rFonts w:hint="eastAsia" w:cs="Times New Roman"/>
                <w:kern w:val="0"/>
                <w:sz w:val="20"/>
              </w:rPr>
              <w:t>ppm）且监控预警系统未报警，高度风险</w:t>
            </w:r>
          </w:p>
        </w:tc>
      </w:tr>
    </w:tbl>
    <w:p w14:paraId="7A0ECD04">
      <w:pPr>
        <w:pStyle w:val="44"/>
        <w:spacing w:before="156" w:after="156"/>
        <w:ind w:firstLine="420"/>
      </w:pPr>
      <w:r>
        <w:rPr>
          <w:rFonts w:hint="eastAsia"/>
        </w:rPr>
        <w:t>6</w:t>
      </w:r>
      <w:r>
        <w:t xml:space="preserve">.2.4 </w:t>
      </w:r>
      <w:r>
        <w:rPr>
          <w:rFonts w:hint="eastAsia"/>
        </w:rPr>
        <w:t>电池管理系统宜加以规定的工作参数范围及风险等级判定规则包括但不限于：</w:t>
      </w:r>
    </w:p>
    <w:p w14:paraId="745F3F91">
      <w:pPr>
        <w:pStyle w:val="76"/>
        <w:numPr>
          <w:ilvl w:val="0"/>
          <w:numId w:val="0"/>
        </w:numPr>
        <w:spacing w:before="156" w:after="156"/>
        <w:rPr>
          <w:rFonts w:cs="Times New Roman"/>
        </w:rPr>
      </w:pPr>
      <w:bookmarkStart w:id="25" w:name="_Toc1030"/>
      <w:r>
        <w:rPr>
          <w:rFonts w:hint="eastAsia" w:cs="Times New Roman"/>
        </w:rPr>
        <w:t>表6 电池管理系统工作参数及风险等级判定</w:t>
      </w:r>
      <w:bookmarkEnd w:id="25"/>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268"/>
        <w:gridCol w:w="5492"/>
      </w:tblGrid>
      <w:tr w14:paraId="6EF2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26" w:type="dxa"/>
            <w:vAlign w:val="center"/>
          </w:tcPr>
          <w:p w14:paraId="26ED4FAC">
            <w:pPr>
              <w:pStyle w:val="44"/>
              <w:spacing w:before="0" w:beforeLines="0" w:after="0" w:afterLines="0"/>
              <w:ind w:firstLine="0" w:firstLineChars="0"/>
              <w:jc w:val="center"/>
              <w:rPr>
                <w:rFonts w:cs="Times New Roman"/>
                <w:kern w:val="0"/>
                <w:sz w:val="20"/>
              </w:rPr>
            </w:pPr>
            <w:r>
              <w:rPr>
                <w:rFonts w:hint="eastAsia" w:cs="Times New Roman"/>
                <w:kern w:val="0"/>
                <w:sz w:val="20"/>
              </w:rPr>
              <w:t>监测对象</w:t>
            </w:r>
          </w:p>
        </w:tc>
        <w:tc>
          <w:tcPr>
            <w:tcW w:w="2268" w:type="dxa"/>
            <w:vAlign w:val="center"/>
          </w:tcPr>
          <w:p w14:paraId="59209BC1">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c>
          <w:tcPr>
            <w:tcW w:w="5492" w:type="dxa"/>
            <w:vAlign w:val="center"/>
          </w:tcPr>
          <w:p w14:paraId="2B0C5184">
            <w:pPr>
              <w:pStyle w:val="44"/>
              <w:spacing w:before="0" w:beforeLines="0" w:after="0" w:afterLines="0"/>
              <w:ind w:firstLine="0" w:firstLineChars="0"/>
              <w:jc w:val="center"/>
              <w:rPr>
                <w:rFonts w:cs="Times New Roman"/>
                <w:kern w:val="0"/>
                <w:sz w:val="20"/>
              </w:rPr>
            </w:pPr>
            <w:r>
              <w:rPr>
                <w:rFonts w:hint="eastAsia" w:cs="Times New Roman"/>
                <w:kern w:val="0"/>
                <w:sz w:val="20"/>
              </w:rPr>
              <w:t>风险等级判定</w:t>
            </w:r>
          </w:p>
        </w:tc>
      </w:tr>
      <w:tr w14:paraId="3630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vAlign w:val="center"/>
          </w:tcPr>
          <w:p w14:paraId="0109EA52">
            <w:pPr>
              <w:pStyle w:val="44"/>
              <w:spacing w:before="0" w:beforeLines="0" w:after="0" w:afterLines="0"/>
              <w:ind w:firstLine="0" w:firstLineChars="0"/>
              <w:jc w:val="center"/>
              <w:rPr>
                <w:rFonts w:cs="Times New Roman"/>
                <w:kern w:val="0"/>
                <w:sz w:val="20"/>
              </w:rPr>
            </w:pPr>
            <w:r>
              <w:rPr>
                <w:rFonts w:hint="eastAsia" w:cs="Times New Roman"/>
                <w:kern w:val="0"/>
                <w:sz w:val="20"/>
              </w:rPr>
              <w:t>电池管理系统</w:t>
            </w:r>
          </w:p>
        </w:tc>
        <w:tc>
          <w:tcPr>
            <w:tcW w:w="2268" w:type="dxa"/>
            <w:vAlign w:val="center"/>
          </w:tcPr>
          <w:p w14:paraId="10C93C50">
            <w:pPr>
              <w:pStyle w:val="44"/>
              <w:spacing w:before="0" w:beforeLines="0" w:after="0" w:afterLines="0"/>
              <w:ind w:firstLine="0" w:firstLineChars="0"/>
              <w:jc w:val="center"/>
              <w:rPr>
                <w:rFonts w:cs="Times New Roman"/>
                <w:kern w:val="0"/>
                <w:sz w:val="20"/>
              </w:rPr>
            </w:pPr>
            <w:r>
              <w:rPr>
                <w:rFonts w:hint="eastAsia" w:cs="Times New Roman"/>
                <w:kern w:val="0"/>
                <w:sz w:val="20"/>
              </w:rPr>
              <w:t>数据采集异常</w:t>
            </w:r>
          </w:p>
        </w:tc>
        <w:tc>
          <w:tcPr>
            <w:tcW w:w="5492" w:type="dxa"/>
            <w:vAlign w:val="center"/>
          </w:tcPr>
          <w:p w14:paraId="652EE848">
            <w:pPr>
              <w:pStyle w:val="44"/>
              <w:spacing w:before="0" w:beforeLines="0" w:after="0" w:afterLines="0"/>
              <w:ind w:firstLine="0" w:firstLineChars="0"/>
              <w:jc w:val="center"/>
              <w:rPr>
                <w:rFonts w:cs="Times New Roman"/>
                <w:kern w:val="0"/>
                <w:sz w:val="20"/>
              </w:rPr>
            </w:pPr>
            <w:r>
              <w:rPr>
                <w:rFonts w:hint="eastAsia" w:cs="Times New Roman"/>
                <w:kern w:val="0"/>
                <w:sz w:val="20"/>
              </w:rPr>
              <w:t>数据采集时间间隔超过2秒，中度风险；</w:t>
            </w:r>
          </w:p>
          <w:p w14:paraId="798D5D6F">
            <w:pPr>
              <w:pStyle w:val="44"/>
              <w:spacing w:before="0" w:beforeLines="0" w:after="0" w:afterLines="0"/>
              <w:ind w:firstLine="0" w:firstLineChars="0"/>
              <w:jc w:val="center"/>
              <w:rPr>
                <w:rFonts w:cs="Times New Roman"/>
                <w:kern w:val="0"/>
                <w:sz w:val="20"/>
              </w:rPr>
            </w:pPr>
            <w:r>
              <w:rPr>
                <w:rFonts w:hint="eastAsia" w:cs="Times New Roman"/>
                <w:kern w:val="0"/>
                <w:sz w:val="20"/>
              </w:rPr>
              <w:t>数据采集误差过大，具体见5</w:t>
            </w:r>
            <w:r>
              <w:rPr>
                <w:rFonts w:cs="Times New Roman"/>
                <w:kern w:val="0"/>
                <w:sz w:val="20"/>
              </w:rPr>
              <w:t>.2.2</w:t>
            </w:r>
            <w:r>
              <w:rPr>
                <w:rFonts w:hint="eastAsia" w:cs="Times New Roman"/>
                <w:kern w:val="0"/>
                <w:sz w:val="20"/>
              </w:rPr>
              <w:t>，中度风险；</w:t>
            </w:r>
          </w:p>
        </w:tc>
      </w:tr>
      <w:tr w14:paraId="37CF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7820FFBA">
            <w:pPr>
              <w:pStyle w:val="44"/>
              <w:spacing w:before="0" w:beforeLines="0" w:after="0" w:afterLines="0"/>
              <w:ind w:firstLine="0" w:firstLineChars="0"/>
              <w:jc w:val="center"/>
              <w:rPr>
                <w:rFonts w:cs="Times New Roman"/>
                <w:kern w:val="0"/>
                <w:sz w:val="20"/>
              </w:rPr>
            </w:pPr>
          </w:p>
        </w:tc>
        <w:tc>
          <w:tcPr>
            <w:tcW w:w="2268" w:type="dxa"/>
            <w:vAlign w:val="center"/>
          </w:tcPr>
          <w:p w14:paraId="513F036D">
            <w:pPr>
              <w:pStyle w:val="44"/>
              <w:spacing w:before="0" w:beforeLines="0" w:after="0" w:afterLines="0"/>
              <w:ind w:firstLine="0" w:firstLineChars="0"/>
              <w:jc w:val="center"/>
              <w:rPr>
                <w:rFonts w:cs="Times New Roman"/>
                <w:kern w:val="0"/>
                <w:sz w:val="20"/>
              </w:rPr>
            </w:pPr>
            <w:r>
              <w:rPr>
                <w:rFonts w:hint="eastAsia" w:cs="Times New Roman"/>
                <w:kern w:val="0"/>
                <w:sz w:val="20"/>
              </w:rPr>
              <w:t>控制管理异常</w:t>
            </w:r>
          </w:p>
        </w:tc>
        <w:tc>
          <w:tcPr>
            <w:tcW w:w="5492" w:type="dxa"/>
            <w:vAlign w:val="center"/>
          </w:tcPr>
          <w:p w14:paraId="7177BE9C">
            <w:pPr>
              <w:pStyle w:val="44"/>
              <w:spacing w:before="0" w:beforeLines="0" w:after="0" w:afterLines="0"/>
              <w:ind w:firstLine="0" w:firstLineChars="0"/>
              <w:jc w:val="center"/>
              <w:rPr>
                <w:rFonts w:cs="Times New Roman"/>
                <w:kern w:val="0"/>
                <w:sz w:val="20"/>
              </w:rPr>
            </w:pPr>
            <w:r>
              <w:rPr>
                <w:rFonts w:hint="eastAsia" w:cs="Times New Roman"/>
                <w:kern w:val="0"/>
                <w:sz w:val="20"/>
              </w:rPr>
              <w:t>控制指令执行响应时间超过2秒，中度风险；</w:t>
            </w:r>
          </w:p>
        </w:tc>
      </w:tr>
      <w:tr w14:paraId="550A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4F19C195">
            <w:pPr>
              <w:pStyle w:val="44"/>
              <w:spacing w:before="0" w:beforeLines="0" w:after="0" w:afterLines="0"/>
              <w:ind w:firstLine="0" w:firstLineChars="0"/>
              <w:jc w:val="center"/>
              <w:rPr>
                <w:rFonts w:cs="Times New Roman"/>
                <w:kern w:val="0"/>
                <w:sz w:val="20"/>
              </w:rPr>
            </w:pPr>
          </w:p>
        </w:tc>
        <w:tc>
          <w:tcPr>
            <w:tcW w:w="2268" w:type="dxa"/>
            <w:vAlign w:val="center"/>
          </w:tcPr>
          <w:p w14:paraId="422FF7D0">
            <w:pPr>
              <w:pStyle w:val="44"/>
              <w:spacing w:before="0" w:beforeLines="0" w:after="0" w:afterLines="0"/>
              <w:ind w:firstLine="0" w:firstLineChars="0"/>
              <w:jc w:val="center"/>
              <w:rPr>
                <w:rFonts w:cs="Times New Roman"/>
                <w:kern w:val="0"/>
                <w:sz w:val="20"/>
              </w:rPr>
            </w:pPr>
            <w:r>
              <w:rPr>
                <w:rFonts w:hint="eastAsia" w:cs="Times New Roman"/>
                <w:kern w:val="0"/>
                <w:sz w:val="20"/>
              </w:rPr>
              <w:t>通信异常</w:t>
            </w:r>
          </w:p>
        </w:tc>
        <w:tc>
          <w:tcPr>
            <w:tcW w:w="5492" w:type="dxa"/>
            <w:vAlign w:val="center"/>
          </w:tcPr>
          <w:p w14:paraId="5E902D37">
            <w:pPr>
              <w:pStyle w:val="44"/>
              <w:spacing w:before="0" w:beforeLines="0" w:after="0" w:afterLines="0"/>
              <w:ind w:firstLine="0" w:firstLineChars="0"/>
              <w:jc w:val="center"/>
              <w:rPr>
                <w:rFonts w:cs="Times New Roman"/>
                <w:kern w:val="0"/>
                <w:sz w:val="20"/>
              </w:rPr>
            </w:pPr>
            <w:r>
              <w:rPr>
                <w:rFonts w:hint="eastAsia" w:cs="Times New Roman"/>
                <w:kern w:val="0"/>
                <w:sz w:val="20"/>
              </w:rPr>
              <w:t>与控制系统、安全保护系统等其他系统间的通信响应时长超过1秒，中度风险；</w:t>
            </w:r>
          </w:p>
        </w:tc>
      </w:tr>
    </w:tbl>
    <w:p w14:paraId="046EC029">
      <w:pPr>
        <w:pStyle w:val="44"/>
        <w:spacing w:before="156" w:after="156"/>
        <w:ind w:firstLine="420"/>
      </w:pPr>
      <w:r>
        <w:rPr>
          <w:rFonts w:hint="eastAsia"/>
        </w:rPr>
        <w:t>6</w:t>
      </w:r>
      <w:r>
        <w:t xml:space="preserve">.2.5 </w:t>
      </w:r>
      <w:r>
        <w:rPr>
          <w:rFonts w:hint="eastAsia"/>
        </w:rPr>
        <w:t>储能变流器宜加以规定的工作参数范围包括但不限于：</w:t>
      </w:r>
    </w:p>
    <w:p w14:paraId="5D97F125">
      <w:pPr>
        <w:pStyle w:val="76"/>
        <w:numPr>
          <w:ilvl w:val="0"/>
          <w:numId w:val="0"/>
        </w:numPr>
        <w:spacing w:before="156" w:after="156"/>
        <w:rPr>
          <w:rFonts w:cs="Times New Roman"/>
        </w:rPr>
      </w:pPr>
      <w:bookmarkStart w:id="26" w:name="_Toc14929"/>
      <w:r>
        <w:rPr>
          <w:rFonts w:hint="eastAsia" w:cs="Times New Roman"/>
        </w:rPr>
        <w:t>表7 储能变流器工作参数及风险等级判定</w:t>
      </w:r>
      <w:bookmarkEnd w:id="26"/>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268"/>
        <w:gridCol w:w="5492"/>
      </w:tblGrid>
      <w:tr w14:paraId="73F8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26" w:type="dxa"/>
            <w:vAlign w:val="center"/>
          </w:tcPr>
          <w:p w14:paraId="2341DC76">
            <w:pPr>
              <w:pStyle w:val="44"/>
              <w:spacing w:before="0" w:beforeLines="0" w:after="0" w:afterLines="0"/>
              <w:ind w:firstLine="0" w:firstLineChars="0"/>
              <w:jc w:val="center"/>
              <w:rPr>
                <w:rFonts w:cs="Times New Roman"/>
                <w:kern w:val="0"/>
                <w:sz w:val="20"/>
              </w:rPr>
            </w:pPr>
            <w:r>
              <w:rPr>
                <w:rFonts w:hint="eastAsia" w:cs="Times New Roman"/>
                <w:kern w:val="0"/>
                <w:sz w:val="20"/>
              </w:rPr>
              <w:t>监测对象</w:t>
            </w:r>
          </w:p>
        </w:tc>
        <w:tc>
          <w:tcPr>
            <w:tcW w:w="2268" w:type="dxa"/>
            <w:vAlign w:val="center"/>
          </w:tcPr>
          <w:p w14:paraId="74A03733">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c>
          <w:tcPr>
            <w:tcW w:w="5492" w:type="dxa"/>
            <w:vAlign w:val="center"/>
          </w:tcPr>
          <w:p w14:paraId="2EFE11A0">
            <w:pPr>
              <w:pStyle w:val="44"/>
              <w:spacing w:before="0" w:beforeLines="0" w:after="0" w:afterLines="0"/>
              <w:ind w:firstLine="0" w:firstLineChars="0"/>
              <w:jc w:val="center"/>
              <w:rPr>
                <w:rFonts w:cs="Times New Roman"/>
                <w:kern w:val="0"/>
                <w:sz w:val="20"/>
              </w:rPr>
            </w:pPr>
            <w:r>
              <w:rPr>
                <w:rFonts w:hint="eastAsia" w:cs="Times New Roman"/>
                <w:kern w:val="0"/>
                <w:sz w:val="20"/>
              </w:rPr>
              <w:t>风险等级判定</w:t>
            </w:r>
          </w:p>
        </w:tc>
      </w:tr>
      <w:tr w14:paraId="01B1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vAlign w:val="center"/>
          </w:tcPr>
          <w:p w14:paraId="1CFC1569">
            <w:pPr>
              <w:pStyle w:val="44"/>
              <w:spacing w:before="0" w:beforeLines="0" w:after="0" w:afterLines="0"/>
              <w:ind w:firstLine="0" w:firstLineChars="0"/>
              <w:jc w:val="center"/>
              <w:rPr>
                <w:rFonts w:cs="Times New Roman"/>
                <w:kern w:val="0"/>
                <w:sz w:val="20"/>
              </w:rPr>
            </w:pPr>
            <w:r>
              <w:rPr>
                <w:rFonts w:hint="eastAsia" w:cs="Times New Roman"/>
                <w:kern w:val="0"/>
                <w:sz w:val="20"/>
              </w:rPr>
              <w:t>储能变流器</w:t>
            </w:r>
          </w:p>
        </w:tc>
        <w:tc>
          <w:tcPr>
            <w:tcW w:w="2268" w:type="dxa"/>
            <w:vAlign w:val="center"/>
          </w:tcPr>
          <w:p w14:paraId="782336D7">
            <w:pPr>
              <w:pStyle w:val="44"/>
              <w:spacing w:before="0" w:beforeLines="0" w:after="0" w:afterLines="0"/>
              <w:ind w:firstLine="0" w:firstLineChars="0"/>
              <w:jc w:val="center"/>
              <w:rPr>
                <w:rFonts w:cs="Times New Roman"/>
                <w:kern w:val="0"/>
                <w:sz w:val="20"/>
              </w:rPr>
            </w:pPr>
            <w:r>
              <w:rPr>
                <w:rFonts w:hint="eastAsia" w:cs="Times New Roman"/>
                <w:kern w:val="0"/>
                <w:sz w:val="20"/>
              </w:rPr>
              <w:t>工作温度异常</w:t>
            </w:r>
          </w:p>
        </w:tc>
        <w:tc>
          <w:tcPr>
            <w:tcW w:w="5492" w:type="dxa"/>
            <w:vAlign w:val="center"/>
          </w:tcPr>
          <w:p w14:paraId="6D6B63F7">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30</w:t>
            </w:r>
            <w:r>
              <w:rPr>
                <w:rFonts w:hint="eastAsia" w:cs="Times New Roman"/>
                <w:kern w:val="0"/>
                <w:sz w:val="20"/>
              </w:rPr>
              <w:t>℃</w:t>
            </w:r>
            <w:r>
              <w:rPr>
                <w:rFonts w:cs="Times New Roman"/>
                <w:kern w:val="0"/>
                <w:sz w:val="20"/>
              </w:rPr>
              <w:t>~-20</w:t>
            </w:r>
            <w:r>
              <w:rPr>
                <w:rFonts w:hint="eastAsia" w:cs="Times New Roman"/>
                <w:kern w:val="0"/>
                <w:sz w:val="20"/>
              </w:rPr>
              <w:t>℃或</w:t>
            </w:r>
            <w:r>
              <w:rPr>
                <w:rFonts w:cs="Times New Roman"/>
                <w:kern w:val="0"/>
                <w:sz w:val="20"/>
              </w:rPr>
              <w:t>45</w:t>
            </w:r>
            <w:r>
              <w:rPr>
                <w:rFonts w:hint="eastAsia" w:cs="Times New Roman"/>
                <w:kern w:val="0"/>
                <w:sz w:val="20"/>
              </w:rPr>
              <w:t>℃</w:t>
            </w:r>
            <w:r>
              <w:rPr>
                <w:rFonts w:cs="Times New Roman"/>
                <w:kern w:val="0"/>
                <w:sz w:val="20"/>
              </w:rPr>
              <w:t>~60</w:t>
            </w:r>
            <w:r>
              <w:rPr>
                <w:rFonts w:hint="eastAsia" w:cs="Times New Roman"/>
                <w:kern w:val="0"/>
                <w:sz w:val="20"/>
              </w:rPr>
              <w:t>℃，轻微风险；</w:t>
            </w:r>
          </w:p>
          <w:p w14:paraId="4FDA300D">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w:t>
            </w:r>
            <w:r>
              <w:rPr>
                <w:rFonts w:cs="Times New Roman"/>
                <w:kern w:val="0"/>
                <w:sz w:val="20"/>
              </w:rPr>
              <w:t>~-30</w:t>
            </w:r>
            <w:r>
              <w:rPr>
                <w:rFonts w:hint="eastAsia" w:cs="Times New Roman"/>
                <w:kern w:val="0"/>
                <w:sz w:val="20"/>
              </w:rPr>
              <w:t>℃或6</w:t>
            </w:r>
            <w:r>
              <w:rPr>
                <w:rFonts w:cs="Times New Roman"/>
                <w:kern w:val="0"/>
                <w:sz w:val="20"/>
              </w:rPr>
              <w:t>0</w:t>
            </w:r>
            <w:r>
              <w:rPr>
                <w:rFonts w:hint="eastAsia" w:cs="Times New Roman"/>
                <w:kern w:val="0"/>
                <w:sz w:val="20"/>
              </w:rPr>
              <w:t>℃</w:t>
            </w:r>
            <w:r>
              <w:rPr>
                <w:rFonts w:cs="Times New Roman"/>
                <w:kern w:val="0"/>
                <w:sz w:val="20"/>
              </w:rPr>
              <w:t>~75</w:t>
            </w:r>
            <w:r>
              <w:rPr>
                <w:rFonts w:hint="eastAsia" w:cs="Times New Roman"/>
                <w:kern w:val="0"/>
                <w:sz w:val="20"/>
              </w:rPr>
              <w:t>℃，中度风险；</w:t>
            </w:r>
          </w:p>
          <w:p w14:paraId="54ECF999">
            <w:pPr>
              <w:pStyle w:val="44"/>
              <w:spacing w:before="0" w:beforeLines="0" w:after="0" w:afterLines="0"/>
              <w:ind w:firstLine="0" w:firstLineChars="0"/>
              <w:jc w:val="center"/>
              <w:rPr>
                <w:rFonts w:cs="Times New Roman"/>
                <w:kern w:val="0"/>
                <w:sz w:val="20"/>
              </w:rPr>
            </w:pPr>
            <w:r>
              <w:rPr>
                <w:rFonts w:hint="eastAsia" w:cs="Times New Roman"/>
                <w:kern w:val="0"/>
                <w:sz w:val="20"/>
              </w:rPr>
              <w:t>工作在-</w:t>
            </w:r>
            <w:r>
              <w:rPr>
                <w:rFonts w:cs="Times New Roman"/>
                <w:kern w:val="0"/>
                <w:sz w:val="20"/>
              </w:rPr>
              <w:t>40</w:t>
            </w:r>
            <w:r>
              <w:rPr>
                <w:rFonts w:hint="eastAsia" w:cs="Times New Roman"/>
                <w:kern w:val="0"/>
                <w:sz w:val="20"/>
              </w:rPr>
              <w:t>℃以下或</w:t>
            </w:r>
            <w:r>
              <w:rPr>
                <w:rFonts w:cs="Times New Roman"/>
                <w:kern w:val="0"/>
                <w:sz w:val="20"/>
              </w:rPr>
              <w:t>75</w:t>
            </w:r>
            <w:r>
              <w:rPr>
                <w:rFonts w:hint="eastAsia" w:cs="Times New Roman"/>
                <w:kern w:val="0"/>
                <w:sz w:val="20"/>
              </w:rPr>
              <w:t>℃以上，高度风险；</w:t>
            </w:r>
          </w:p>
        </w:tc>
      </w:tr>
      <w:tr w14:paraId="013D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79688C4D">
            <w:pPr>
              <w:pStyle w:val="44"/>
              <w:spacing w:before="0" w:beforeLines="0" w:after="0" w:afterLines="0"/>
              <w:ind w:firstLine="0" w:firstLineChars="0"/>
              <w:jc w:val="center"/>
              <w:rPr>
                <w:rFonts w:cs="Times New Roman"/>
                <w:kern w:val="0"/>
                <w:sz w:val="20"/>
              </w:rPr>
            </w:pPr>
          </w:p>
        </w:tc>
        <w:tc>
          <w:tcPr>
            <w:tcW w:w="2268" w:type="dxa"/>
            <w:vAlign w:val="center"/>
          </w:tcPr>
          <w:p w14:paraId="08F6B44D">
            <w:pPr>
              <w:pStyle w:val="44"/>
              <w:spacing w:before="0" w:beforeLines="0" w:after="0" w:afterLines="0"/>
              <w:ind w:firstLine="0" w:firstLineChars="0"/>
              <w:jc w:val="center"/>
              <w:rPr>
                <w:rFonts w:cs="Times New Roman"/>
                <w:kern w:val="0"/>
                <w:sz w:val="20"/>
              </w:rPr>
            </w:pPr>
            <w:r>
              <w:rPr>
                <w:rFonts w:hint="eastAsia" w:cs="Times New Roman"/>
                <w:kern w:val="0"/>
                <w:sz w:val="20"/>
              </w:rPr>
              <w:t>工作噪声异常</w:t>
            </w:r>
          </w:p>
        </w:tc>
        <w:tc>
          <w:tcPr>
            <w:tcW w:w="5492" w:type="dxa"/>
            <w:vAlign w:val="center"/>
          </w:tcPr>
          <w:p w14:paraId="70DB2E88">
            <w:pPr>
              <w:pStyle w:val="44"/>
              <w:spacing w:before="0" w:beforeLines="0" w:after="0" w:afterLines="0"/>
              <w:ind w:firstLine="0" w:firstLineChars="0"/>
              <w:jc w:val="center"/>
              <w:rPr>
                <w:rFonts w:cs="Times New Roman"/>
                <w:kern w:val="0"/>
                <w:sz w:val="20"/>
              </w:rPr>
            </w:pPr>
            <w:r>
              <w:rPr>
                <w:rFonts w:hint="eastAsia" w:cs="Times New Roman"/>
                <w:kern w:val="0"/>
                <w:sz w:val="20"/>
              </w:rPr>
              <w:t>在距离水平1m处，满载噪声超过8</w:t>
            </w:r>
            <w:r>
              <w:rPr>
                <w:rFonts w:cs="Times New Roman"/>
                <w:kern w:val="0"/>
                <w:sz w:val="20"/>
              </w:rPr>
              <w:t>0</w:t>
            </w:r>
            <w:r>
              <w:rPr>
                <w:rFonts w:hint="eastAsia" w:cs="Times New Roman"/>
                <w:kern w:val="0"/>
                <w:sz w:val="20"/>
              </w:rPr>
              <w:t>db，轻度风险；</w:t>
            </w:r>
          </w:p>
          <w:p w14:paraId="4C0039C9">
            <w:pPr>
              <w:pStyle w:val="44"/>
              <w:spacing w:before="0" w:beforeLines="0" w:after="0" w:afterLines="0"/>
              <w:ind w:firstLine="0" w:firstLineChars="0"/>
              <w:jc w:val="center"/>
              <w:rPr>
                <w:rFonts w:cs="Times New Roman"/>
                <w:kern w:val="0"/>
                <w:sz w:val="20"/>
              </w:rPr>
            </w:pPr>
            <w:r>
              <w:rPr>
                <w:rFonts w:hint="eastAsia" w:cs="Times New Roman"/>
                <w:kern w:val="0"/>
                <w:sz w:val="20"/>
              </w:rPr>
              <w:t>在距离水平1m处，满载噪声超过8</w:t>
            </w:r>
            <w:r>
              <w:rPr>
                <w:rFonts w:cs="Times New Roman"/>
                <w:kern w:val="0"/>
                <w:sz w:val="20"/>
              </w:rPr>
              <w:t>5</w:t>
            </w:r>
            <w:r>
              <w:rPr>
                <w:rFonts w:hint="eastAsia" w:cs="Times New Roman"/>
                <w:kern w:val="0"/>
                <w:sz w:val="20"/>
              </w:rPr>
              <w:t>db，中度风险；</w:t>
            </w:r>
          </w:p>
          <w:p w14:paraId="709E348C">
            <w:pPr>
              <w:pStyle w:val="44"/>
              <w:spacing w:before="0" w:beforeLines="0" w:after="0" w:afterLines="0"/>
              <w:ind w:firstLine="0" w:firstLineChars="0"/>
              <w:jc w:val="center"/>
              <w:rPr>
                <w:rFonts w:cs="Times New Roman"/>
                <w:kern w:val="0"/>
                <w:sz w:val="20"/>
              </w:rPr>
            </w:pPr>
            <w:r>
              <w:rPr>
                <w:rFonts w:hint="eastAsia" w:cs="Times New Roman"/>
                <w:kern w:val="0"/>
                <w:sz w:val="20"/>
              </w:rPr>
              <w:t>在距离水平1m处，满载噪声超过</w:t>
            </w:r>
            <w:r>
              <w:rPr>
                <w:rFonts w:cs="Times New Roman"/>
                <w:kern w:val="0"/>
                <w:sz w:val="20"/>
              </w:rPr>
              <w:t>90</w:t>
            </w:r>
            <w:r>
              <w:rPr>
                <w:rFonts w:hint="eastAsia" w:cs="Times New Roman"/>
                <w:kern w:val="0"/>
                <w:sz w:val="20"/>
              </w:rPr>
              <w:t>db，高度风险；</w:t>
            </w:r>
          </w:p>
        </w:tc>
      </w:tr>
      <w:tr w14:paraId="676C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08834717">
            <w:pPr>
              <w:pStyle w:val="44"/>
              <w:spacing w:before="0" w:beforeLines="0" w:after="0" w:afterLines="0"/>
              <w:ind w:firstLine="0" w:firstLineChars="0"/>
              <w:jc w:val="center"/>
              <w:rPr>
                <w:rFonts w:cs="Times New Roman"/>
                <w:kern w:val="0"/>
                <w:sz w:val="20"/>
              </w:rPr>
            </w:pPr>
          </w:p>
        </w:tc>
        <w:tc>
          <w:tcPr>
            <w:tcW w:w="2268" w:type="dxa"/>
            <w:vAlign w:val="center"/>
          </w:tcPr>
          <w:p w14:paraId="0692F095">
            <w:pPr>
              <w:pStyle w:val="44"/>
              <w:spacing w:before="0" w:beforeLines="0" w:after="0" w:afterLines="0"/>
              <w:ind w:firstLine="0" w:firstLineChars="0"/>
              <w:jc w:val="center"/>
              <w:rPr>
                <w:rFonts w:cs="Times New Roman"/>
                <w:kern w:val="0"/>
                <w:sz w:val="20"/>
              </w:rPr>
            </w:pPr>
            <w:r>
              <w:rPr>
                <w:rFonts w:hint="eastAsia" w:cs="Times New Roman"/>
                <w:kern w:val="0"/>
                <w:sz w:val="20"/>
              </w:rPr>
              <w:t>绝缘异常</w:t>
            </w:r>
          </w:p>
        </w:tc>
        <w:tc>
          <w:tcPr>
            <w:tcW w:w="5492" w:type="dxa"/>
            <w:vAlign w:val="center"/>
          </w:tcPr>
          <w:p w14:paraId="15BC8E62">
            <w:pPr>
              <w:pStyle w:val="44"/>
              <w:spacing w:before="0" w:beforeLines="0" w:after="0" w:afterLines="0"/>
              <w:ind w:firstLine="0" w:firstLineChars="0"/>
              <w:jc w:val="center"/>
              <w:rPr>
                <w:rFonts w:cs="Times New Roman"/>
                <w:kern w:val="0"/>
                <w:sz w:val="20"/>
              </w:rPr>
            </w:pPr>
            <w:r>
              <w:rPr>
                <w:rFonts w:hint="eastAsia" w:cs="Times New Roman"/>
                <w:kern w:val="0"/>
                <w:sz w:val="20"/>
              </w:rPr>
              <w:t>储能变流器各独立电路与外露的可导电部分之间，及各独立电路之间绝缘电阻小于1</w:t>
            </w:r>
            <w:r>
              <w:rPr>
                <w:rFonts w:cs="Times New Roman"/>
                <w:kern w:val="0"/>
                <w:sz w:val="20"/>
              </w:rPr>
              <w:t>MΩ</w:t>
            </w:r>
            <w:r>
              <w:rPr>
                <w:rFonts w:hint="eastAsia" w:cs="Times New Roman"/>
                <w:kern w:val="0"/>
                <w:sz w:val="20"/>
              </w:rPr>
              <w:t>，轻度风险；</w:t>
            </w:r>
          </w:p>
          <w:p w14:paraId="39252259">
            <w:pPr>
              <w:pStyle w:val="44"/>
              <w:spacing w:before="0" w:beforeLines="0" w:after="0" w:afterLines="0"/>
              <w:ind w:firstLine="0" w:firstLineChars="0"/>
              <w:jc w:val="center"/>
              <w:rPr>
                <w:rFonts w:cs="Times New Roman"/>
                <w:kern w:val="0"/>
                <w:sz w:val="20"/>
              </w:rPr>
            </w:pPr>
            <w:r>
              <w:rPr>
                <w:rFonts w:hint="eastAsia" w:cs="Times New Roman"/>
                <w:kern w:val="0"/>
                <w:sz w:val="20"/>
              </w:rPr>
              <w:t>储能变流器各独立电路与外露的可导电部分之间，及各独立电路之间绝缘电阻小于</w:t>
            </w:r>
            <w:r>
              <w:rPr>
                <w:rFonts w:cs="Times New Roman"/>
                <w:kern w:val="0"/>
                <w:sz w:val="20"/>
              </w:rPr>
              <w:t>0.8MΩ</w:t>
            </w:r>
            <w:r>
              <w:rPr>
                <w:rFonts w:hint="eastAsia" w:cs="Times New Roman"/>
                <w:kern w:val="0"/>
                <w:sz w:val="20"/>
              </w:rPr>
              <w:t>，中度风险；</w:t>
            </w:r>
          </w:p>
          <w:p w14:paraId="07713123">
            <w:pPr>
              <w:pStyle w:val="44"/>
              <w:spacing w:before="0" w:beforeLines="0" w:after="0" w:afterLines="0"/>
              <w:ind w:firstLine="0" w:firstLineChars="0"/>
              <w:jc w:val="center"/>
              <w:rPr>
                <w:rFonts w:cs="Times New Roman"/>
                <w:kern w:val="0"/>
                <w:sz w:val="20"/>
              </w:rPr>
            </w:pPr>
            <w:r>
              <w:rPr>
                <w:rFonts w:hint="eastAsia" w:cs="Times New Roman"/>
                <w:kern w:val="0"/>
                <w:sz w:val="20"/>
              </w:rPr>
              <w:t>储能变流器各独立电路与外露的可导电部分之间，及各独立电路之间绝缘电阻小于0</w:t>
            </w:r>
            <w:r>
              <w:rPr>
                <w:rFonts w:cs="Times New Roman"/>
                <w:kern w:val="0"/>
                <w:sz w:val="20"/>
              </w:rPr>
              <w:t>.5MΩ</w:t>
            </w:r>
            <w:r>
              <w:rPr>
                <w:rFonts w:hint="eastAsia" w:cs="Times New Roman"/>
                <w:kern w:val="0"/>
                <w:sz w:val="20"/>
              </w:rPr>
              <w:t>，高度风险；</w:t>
            </w:r>
          </w:p>
        </w:tc>
      </w:tr>
      <w:tr w14:paraId="1638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614E1419">
            <w:pPr>
              <w:pStyle w:val="44"/>
              <w:spacing w:before="0" w:beforeLines="0" w:after="0" w:afterLines="0"/>
              <w:ind w:firstLine="0" w:firstLineChars="0"/>
              <w:jc w:val="center"/>
              <w:rPr>
                <w:rFonts w:cs="Times New Roman"/>
                <w:kern w:val="0"/>
                <w:sz w:val="20"/>
              </w:rPr>
            </w:pPr>
          </w:p>
        </w:tc>
        <w:tc>
          <w:tcPr>
            <w:tcW w:w="2268" w:type="dxa"/>
            <w:vAlign w:val="center"/>
          </w:tcPr>
          <w:p w14:paraId="50252C1B">
            <w:pPr>
              <w:pStyle w:val="44"/>
              <w:spacing w:before="0" w:beforeLines="0" w:after="0" w:afterLines="0"/>
              <w:ind w:firstLine="0" w:firstLineChars="0"/>
              <w:jc w:val="center"/>
              <w:rPr>
                <w:rFonts w:cs="Times New Roman"/>
                <w:kern w:val="0"/>
                <w:sz w:val="20"/>
              </w:rPr>
            </w:pPr>
            <w:r>
              <w:rPr>
                <w:rFonts w:hint="eastAsia" w:cs="Times New Roman"/>
                <w:kern w:val="0"/>
                <w:sz w:val="20"/>
              </w:rPr>
              <w:t>保护功能异常</w:t>
            </w:r>
          </w:p>
        </w:tc>
        <w:tc>
          <w:tcPr>
            <w:tcW w:w="5492" w:type="dxa"/>
            <w:vAlign w:val="center"/>
          </w:tcPr>
          <w:p w14:paraId="1509B381">
            <w:pPr>
              <w:pStyle w:val="44"/>
              <w:spacing w:before="0" w:beforeLines="0" w:after="0" w:afterLines="0"/>
              <w:ind w:firstLine="0" w:firstLineChars="0"/>
              <w:jc w:val="center"/>
              <w:rPr>
                <w:rFonts w:cs="Times New Roman"/>
                <w:kern w:val="0"/>
                <w:sz w:val="20"/>
              </w:rPr>
            </w:pPr>
            <w:r>
              <w:rPr>
                <w:rFonts w:hint="eastAsia" w:cs="Times New Roman"/>
                <w:kern w:val="0"/>
                <w:sz w:val="20"/>
              </w:rPr>
              <w:t>短路保护、通信故障保护、直流过/欠压保护、冷却系统故障保护功能异常，中度风险；</w:t>
            </w:r>
          </w:p>
          <w:p w14:paraId="4972CCFD">
            <w:pPr>
              <w:pStyle w:val="44"/>
              <w:spacing w:before="0" w:beforeLines="0" w:after="0" w:afterLines="0"/>
              <w:ind w:firstLine="0" w:firstLineChars="0"/>
              <w:jc w:val="center"/>
              <w:rPr>
                <w:rFonts w:cs="Times New Roman"/>
                <w:kern w:val="0"/>
                <w:sz w:val="20"/>
              </w:rPr>
            </w:pPr>
            <w:r>
              <w:rPr>
                <w:rFonts w:hint="eastAsia" w:cs="Times New Roman"/>
                <w:kern w:val="0"/>
                <w:sz w:val="20"/>
              </w:rPr>
              <w:t>极性反接保护、离网过电流保护、进线相序错误保护、防孤岛保护功能异常，高度风险；</w:t>
            </w:r>
          </w:p>
        </w:tc>
      </w:tr>
      <w:tr w14:paraId="04AE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635A6B99">
            <w:pPr>
              <w:pStyle w:val="44"/>
              <w:spacing w:before="0" w:beforeLines="0" w:after="0" w:afterLines="0"/>
              <w:ind w:firstLine="0" w:firstLineChars="0"/>
              <w:jc w:val="center"/>
              <w:rPr>
                <w:rFonts w:cs="Times New Roman"/>
                <w:kern w:val="0"/>
                <w:sz w:val="20"/>
              </w:rPr>
            </w:pPr>
          </w:p>
        </w:tc>
        <w:tc>
          <w:tcPr>
            <w:tcW w:w="2268" w:type="dxa"/>
            <w:vAlign w:val="center"/>
          </w:tcPr>
          <w:p w14:paraId="57780C81">
            <w:pPr>
              <w:pStyle w:val="44"/>
              <w:spacing w:before="0" w:beforeLines="0" w:after="0" w:afterLines="0"/>
              <w:ind w:firstLine="0" w:firstLineChars="0"/>
              <w:jc w:val="center"/>
              <w:rPr>
                <w:rFonts w:cs="Times New Roman"/>
                <w:kern w:val="0"/>
                <w:sz w:val="20"/>
              </w:rPr>
            </w:pPr>
            <w:r>
              <w:rPr>
                <w:rFonts w:hint="eastAsia" w:cs="Times New Roman"/>
                <w:kern w:val="0"/>
                <w:sz w:val="20"/>
              </w:rPr>
              <w:t>控制响应异常</w:t>
            </w:r>
          </w:p>
        </w:tc>
        <w:tc>
          <w:tcPr>
            <w:tcW w:w="5492" w:type="dxa"/>
            <w:vAlign w:val="center"/>
          </w:tcPr>
          <w:p w14:paraId="69574AEE">
            <w:pPr>
              <w:pStyle w:val="44"/>
              <w:spacing w:before="0" w:beforeLines="0" w:after="0" w:afterLines="0"/>
              <w:ind w:firstLine="0" w:firstLineChars="0"/>
              <w:jc w:val="center"/>
              <w:rPr>
                <w:rFonts w:cs="Times New Roman"/>
                <w:kern w:val="0"/>
                <w:sz w:val="20"/>
              </w:rPr>
            </w:pPr>
            <w:r>
              <w:rPr>
                <w:rFonts w:hint="eastAsia" w:cs="Times New Roman"/>
                <w:kern w:val="0"/>
                <w:sz w:val="20"/>
              </w:rPr>
              <w:t>控制信号响应时长超过2s，中度风险</w:t>
            </w:r>
          </w:p>
        </w:tc>
      </w:tr>
    </w:tbl>
    <w:p w14:paraId="2FE08A5E">
      <w:pPr>
        <w:pStyle w:val="44"/>
        <w:spacing w:before="156" w:after="156"/>
        <w:ind w:firstLine="420"/>
      </w:pPr>
      <w:r>
        <w:rPr>
          <w:rFonts w:hint="eastAsia"/>
        </w:rPr>
        <w:t>6</w:t>
      </w:r>
      <w:r>
        <w:t xml:space="preserve">.2.6 </w:t>
      </w:r>
      <w:r>
        <w:rPr>
          <w:rFonts w:hint="eastAsia"/>
        </w:rPr>
        <w:t>环境参数中宜加以规定的参数范围包括但不限于：</w:t>
      </w:r>
    </w:p>
    <w:p w14:paraId="457A1A20">
      <w:pPr>
        <w:pStyle w:val="76"/>
        <w:numPr>
          <w:ilvl w:val="0"/>
          <w:numId w:val="0"/>
        </w:numPr>
        <w:spacing w:before="156" w:after="156"/>
        <w:rPr>
          <w:rFonts w:cs="Times New Roman"/>
        </w:rPr>
      </w:pPr>
      <w:bookmarkStart w:id="27" w:name="_Toc24736"/>
      <w:r>
        <w:rPr>
          <w:rFonts w:hint="eastAsia" w:cs="Times New Roman"/>
        </w:rPr>
        <w:t>表8 环境参数及风险等级判定</w:t>
      </w:r>
      <w:bookmarkEnd w:id="27"/>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268"/>
        <w:gridCol w:w="5492"/>
      </w:tblGrid>
      <w:tr w14:paraId="7454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26" w:type="dxa"/>
            <w:vAlign w:val="center"/>
          </w:tcPr>
          <w:p w14:paraId="25627F0D">
            <w:pPr>
              <w:pStyle w:val="44"/>
              <w:spacing w:before="0" w:beforeLines="0" w:after="0" w:afterLines="0"/>
              <w:ind w:firstLine="0" w:firstLineChars="0"/>
              <w:jc w:val="center"/>
              <w:rPr>
                <w:rFonts w:cs="Times New Roman"/>
                <w:kern w:val="0"/>
                <w:sz w:val="20"/>
              </w:rPr>
            </w:pPr>
            <w:r>
              <w:rPr>
                <w:rFonts w:hint="eastAsia" w:cs="Times New Roman"/>
                <w:kern w:val="0"/>
                <w:sz w:val="20"/>
              </w:rPr>
              <w:t>监测对象</w:t>
            </w:r>
          </w:p>
        </w:tc>
        <w:tc>
          <w:tcPr>
            <w:tcW w:w="2268" w:type="dxa"/>
            <w:vAlign w:val="center"/>
          </w:tcPr>
          <w:p w14:paraId="64B17DCB">
            <w:pPr>
              <w:pStyle w:val="44"/>
              <w:spacing w:before="0" w:beforeLines="0" w:after="0" w:afterLines="0"/>
              <w:ind w:firstLine="0" w:firstLineChars="0"/>
              <w:jc w:val="center"/>
              <w:rPr>
                <w:rFonts w:cs="Times New Roman"/>
                <w:kern w:val="0"/>
                <w:sz w:val="20"/>
              </w:rPr>
            </w:pPr>
            <w:r>
              <w:rPr>
                <w:rFonts w:hint="eastAsia" w:cs="Times New Roman"/>
                <w:kern w:val="0"/>
                <w:sz w:val="20"/>
              </w:rPr>
              <w:t>安全风险</w:t>
            </w:r>
          </w:p>
        </w:tc>
        <w:tc>
          <w:tcPr>
            <w:tcW w:w="5492" w:type="dxa"/>
            <w:vAlign w:val="center"/>
          </w:tcPr>
          <w:p w14:paraId="6B01B700">
            <w:pPr>
              <w:pStyle w:val="44"/>
              <w:spacing w:before="0" w:beforeLines="0" w:after="0" w:afterLines="0"/>
              <w:ind w:firstLine="0" w:firstLineChars="0"/>
              <w:jc w:val="center"/>
              <w:rPr>
                <w:rFonts w:cs="Times New Roman"/>
                <w:kern w:val="0"/>
                <w:sz w:val="20"/>
              </w:rPr>
            </w:pPr>
            <w:r>
              <w:rPr>
                <w:rFonts w:hint="eastAsia" w:cs="Times New Roman"/>
                <w:kern w:val="0"/>
                <w:sz w:val="20"/>
              </w:rPr>
              <w:t>风险等级判定</w:t>
            </w:r>
          </w:p>
        </w:tc>
      </w:tr>
      <w:tr w14:paraId="7474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vAlign w:val="center"/>
          </w:tcPr>
          <w:p w14:paraId="117319C6">
            <w:pPr>
              <w:pStyle w:val="44"/>
              <w:spacing w:before="0" w:beforeLines="0" w:after="0" w:afterLines="0"/>
              <w:ind w:firstLine="0" w:firstLineChars="0"/>
              <w:jc w:val="center"/>
              <w:rPr>
                <w:rFonts w:cs="Times New Roman"/>
                <w:kern w:val="0"/>
                <w:sz w:val="20"/>
              </w:rPr>
            </w:pPr>
            <w:r>
              <w:rPr>
                <w:rFonts w:hint="eastAsia" w:cs="Times New Roman"/>
                <w:kern w:val="0"/>
                <w:sz w:val="20"/>
              </w:rPr>
              <w:t>环境参数</w:t>
            </w:r>
          </w:p>
        </w:tc>
        <w:tc>
          <w:tcPr>
            <w:tcW w:w="2268" w:type="dxa"/>
            <w:vAlign w:val="center"/>
          </w:tcPr>
          <w:p w14:paraId="6E0B9787">
            <w:pPr>
              <w:pStyle w:val="44"/>
              <w:spacing w:before="0" w:beforeLines="0" w:after="0" w:afterLines="0"/>
              <w:ind w:firstLine="0" w:firstLineChars="0"/>
              <w:jc w:val="center"/>
              <w:rPr>
                <w:rFonts w:cs="Times New Roman"/>
                <w:kern w:val="0"/>
                <w:sz w:val="20"/>
              </w:rPr>
            </w:pPr>
            <w:r>
              <w:rPr>
                <w:rFonts w:hint="eastAsia" w:cs="Times New Roman"/>
                <w:kern w:val="0"/>
                <w:sz w:val="20"/>
              </w:rPr>
              <w:t>消防设施风险</w:t>
            </w:r>
          </w:p>
        </w:tc>
        <w:tc>
          <w:tcPr>
            <w:tcW w:w="5492" w:type="dxa"/>
            <w:vAlign w:val="center"/>
          </w:tcPr>
          <w:p w14:paraId="27B7B9A4">
            <w:pPr>
              <w:pStyle w:val="44"/>
              <w:spacing w:before="0" w:beforeLines="0" w:after="0" w:afterLines="0"/>
              <w:ind w:firstLine="0" w:firstLineChars="0"/>
              <w:jc w:val="center"/>
              <w:rPr>
                <w:rFonts w:cs="Times New Roman"/>
                <w:kern w:val="0"/>
                <w:sz w:val="20"/>
              </w:rPr>
            </w:pPr>
            <w:r>
              <w:rPr>
                <w:rFonts w:hint="eastAsia" w:cs="Times New Roman"/>
                <w:kern w:val="0"/>
                <w:sz w:val="20"/>
              </w:rPr>
              <w:t>具体风险见5</w:t>
            </w:r>
            <w:r>
              <w:rPr>
                <w:rFonts w:cs="Times New Roman"/>
                <w:kern w:val="0"/>
                <w:sz w:val="20"/>
              </w:rPr>
              <w:t>.2.6</w:t>
            </w:r>
            <w:r>
              <w:rPr>
                <w:rFonts w:hint="eastAsia" w:cs="Times New Roman"/>
                <w:kern w:val="0"/>
                <w:sz w:val="20"/>
              </w:rPr>
              <w:t>，中度风险</w:t>
            </w:r>
          </w:p>
        </w:tc>
      </w:tr>
      <w:tr w14:paraId="69C5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5027D2B7">
            <w:pPr>
              <w:pStyle w:val="44"/>
              <w:spacing w:before="0" w:beforeLines="0" w:after="0" w:afterLines="0"/>
              <w:ind w:firstLine="0" w:firstLineChars="0"/>
              <w:jc w:val="center"/>
              <w:rPr>
                <w:rFonts w:cs="Times New Roman"/>
                <w:kern w:val="0"/>
                <w:sz w:val="20"/>
              </w:rPr>
            </w:pPr>
          </w:p>
        </w:tc>
        <w:tc>
          <w:tcPr>
            <w:tcW w:w="2268" w:type="dxa"/>
            <w:vAlign w:val="center"/>
          </w:tcPr>
          <w:p w14:paraId="6DCFBB5C">
            <w:pPr>
              <w:pStyle w:val="44"/>
              <w:spacing w:before="0" w:beforeLines="0" w:after="0" w:afterLines="0"/>
              <w:ind w:firstLine="0" w:firstLineChars="0"/>
              <w:jc w:val="center"/>
              <w:rPr>
                <w:rFonts w:cs="Times New Roman"/>
                <w:kern w:val="0"/>
                <w:sz w:val="20"/>
              </w:rPr>
            </w:pPr>
            <w:r>
              <w:rPr>
                <w:rFonts w:hint="eastAsia" w:cs="Times New Roman"/>
                <w:kern w:val="0"/>
                <w:sz w:val="20"/>
              </w:rPr>
              <w:t>人员风险</w:t>
            </w:r>
          </w:p>
        </w:tc>
        <w:tc>
          <w:tcPr>
            <w:tcW w:w="5492" w:type="dxa"/>
            <w:vAlign w:val="center"/>
          </w:tcPr>
          <w:p w14:paraId="72EEDA66">
            <w:pPr>
              <w:pStyle w:val="44"/>
              <w:spacing w:before="0" w:beforeLines="0" w:after="0" w:afterLines="0"/>
              <w:ind w:firstLine="0" w:firstLineChars="0"/>
              <w:jc w:val="center"/>
              <w:rPr>
                <w:rFonts w:cs="Times New Roman"/>
                <w:kern w:val="0"/>
                <w:sz w:val="20"/>
              </w:rPr>
            </w:pPr>
            <w:r>
              <w:rPr>
                <w:rFonts w:hint="eastAsia" w:cs="Times New Roman"/>
                <w:kern w:val="0"/>
                <w:sz w:val="20"/>
              </w:rPr>
              <w:t>在防护措施不到位的情况下，人员与储能电站设备距离小于5m，轻度风险；</w:t>
            </w:r>
          </w:p>
          <w:p w14:paraId="3751F056">
            <w:pPr>
              <w:pStyle w:val="44"/>
              <w:spacing w:before="0" w:beforeLines="0" w:after="0" w:afterLines="0"/>
              <w:ind w:firstLine="0" w:firstLineChars="0"/>
              <w:jc w:val="center"/>
              <w:rPr>
                <w:rFonts w:cs="Times New Roman"/>
                <w:kern w:val="0"/>
                <w:sz w:val="20"/>
              </w:rPr>
            </w:pPr>
            <w:r>
              <w:rPr>
                <w:rFonts w:hint="eastAsia" w:cs="Times New Roman"/>
                <w:kern w:val="0"/>
                <w:sz w:val="20"/>
              </w:rPr>
              <w:t>在防护措施不到位的情况下，人员与储能电站设备距离小于2m，中度风险；</w:t>
            </w:r>
          </w:p>
          <w:p w14:paraId="46003041">
            <w:pPr>
              <w:pStyle w:val="44"/>
              <w:spacing w:before="0" w:beforeLines="0" w:after="0" w:afterLines="0"/>
              <w:ind w:firstLine="0" w:firstLineChars="0"/>
              <w:jc w:val="center"/>
              <w:rPr>
                <w:rFonts w:cs="Times New Roman"/>
                <w:kern w:val="0"/>
                <w:sz w:val="20"/>
              </w:rPr>
            </w:pPr>
            <w:r>
              <w:rPr>
                <w:rFonts w:hint="eastAsia" w:cs="Times New Roman"/>
                <w:kern w:val="0"/>
                <w:sz w:val="20"/>
              </w:rPr>
              <w:t>在防护措施不到位的情况下，人员与储能电站设备距离小于1m，高度风险</w:t>
            </w:r>
          </w:p>
        </w:tc>
      </w:tr>
      <w:tr w14:paraId="7A06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66389542">
            <w:pPr>
              <w:pStyle w:val="44"/>
              <w:spacing w:before="0" w:beforeLines="0" w:after="0" w:afterLines="0"/>
              <w:ind w:firstLine="0" w:firstLineChars="0"/>
              <w:jc w:val="center"/>
              <w:rPr>
                <w:rFonts w:cs="Times New Roman"/>
                <w:kern w:val="0"/>
                <w:sz w:val="20"/>
              </w:rPr>
            </w:pPr>
          </w:p>
        </w:tc>
        <w:tc>
          <w:tcPr>
            <w:tcW w:w="2268" w:type="dxa"/>
            <w:vAlign w:val="center"/>
          </w:tcPr>
          <w:p w14:paraId="578F05E1">
            <w:pPr>
              <w:pStyle w:val="44"/>
              <w:spacing w:before="0" w:beforeLines="0" w:after="0" w:afterLines="0"/>
              <w:ind w:firstLine="0" w:firstLineChars="0"/>
              <w:jc w:val="center"/>
              <w:rPr>
                <w:rFonts w:cs="Times New Roman"/>
                <w:kern w:val="0"/>
                <w:sz w:val="20"/>
              </w:rPr>
            </w:pPr>
            <w:r>
              <w:rPr>
                <w:rFonts w:hint="eastAsia" w:cs="Times New Roman"/>
                <w:kern w:val="0"/>
                <w:sz w:val="20"/>
              </w:rPr>
              <w:t>易燃易爆气体、有毒有害气体风险</w:t>
            </w:r>
          </w:p>
        </w:tc>
        <w:tc>
          <w:tcPr>
            <w:tcW w:w="5492" w:type="dxa"/>
            <w:vAlign w:val="center"/>
          </w:tcPr>
          <w:p w14:paraId="3193B39C">
            <w:pPr>
              <w:pStyle w:val="44"/>
              <w:spacing w:before="0" w:beforeLines="0" w:after="0" w:afterLines="0"/>
              <w:ind w:firstLine="0" w:firstLineChars="0"/>
              <w:jc w:val="center"/>
              <w:rPr>
                <w:kern w:val="0"/>
                <w:sz w:val="20"/>
              </w:rPr>
            </w:pPr>
            <w:r>
              <w:rPr>
                <w:rFonts w:hint="eastAsia"/>
                <w:kern w:val="0"/>
                <w:sz w:val="20"/>
              </w:rPr>
              <w:t>环境中易燃、易爆气体浓度超过各自最低点火极限浓度值的5</w:t>
            </w:r>
            <w:r>
              <w:rPr>
                <w:kern w:val="0"/>
                <w:sz w:val="20"/>
              </w:rPr>
              <w:t>0%</w:t>
            </w:r>
            <w:r>
              <w:rPr>
                <w:rFonts w:hint="eastAsia"/>
                <w:kern w:val="0"/>
                <w:sz w:val="20"/>
              </w:rPr>
              <w:t>，中度风险；</w:t>
            </w:r>
          </w:p>
          <w:p w14:paraId="54AE3E2D">
            <w:pPr>
              <w:pStyle w:val="44"/>
              <w:spacing w:before="0" w:beforeLines="0" w:after="0" w:afterLines="0"/>
              <w:ind w:firstLine="0" w:firstLineChars="0"/>
              <w:jc w:val="center"/>
              <w:rPr>
                <w:kern w:val="0"/>
                <w:sz w:val="20"/>
              </w:rPr>
            </w:pPr>
            <w:r>
              <w:rPr>
                <w:rFonts w:hint="eastAsia"/>
                <w:kern w:val="0"/>
                <w:sz w:val="20"/>
              </w:rPr>
              <w:t>环境中易燃、易爆气体浓度超过各自最低点火极限浓度值，高度风险；</w:t>
            </w:r>
          </w:p>
          <w:p w14:paraId="1CD10114">
            <w:pPr>
              <w:pStyle w:val="44"/>
              <w:spacing w:before="0" w:beforeLines="0" w:after="0" w:afterLines="0"/>
              <w:ind w:firstLine="0" w:firstLineChars="0"/>
              <w:jc w:val="center"/>
              <w:rPr>
                <w:rFonts w:cs="Times New Roman"/>
                <w:kern w:val="0"/>
                <w:sz w:val="20"/>
              </w:rPr>
            </w:pPr>
            <w:r>
              <w:rPr>
                <w:rFonts w:hint="eastAsia"/>
                <w:kern w:val="0"/>
                <w:sz w:val="20"/>
              </w:rPr>
              <w:t>环境中存在人员或设备有害的气体，包括但不限于：硫酸、二氧化硫、三氧化硫、硫化氢、氟化氢、</w:t>
            </w:r>
            <w:r>
              <w:rPr>
                <w:kern w:val="0"/>
                <w:sz w:val="20"/>
              </w:rPr>
              <w:t>丙烯醛、丙腈、丙二腈</w:t>
            </w:r>
            <w:r>
              <w:rPr>
                <w:rFonts w:hint="eastAsia"/>
                <w:kern w:val="0"/>
                <w:sz w:val="20"/>
              </w:rPr>
              <w:t>、</w:t>
            </w:r>
            <w:r>
              <w:rPr>
                <w:kern w:val="0"/>
                <w:sz w:val="20"/>
              </w:rPr>
              <w:t>烷烃类气体</w:t>
            </w:r>
            <w:r>
              <w:rPr>
                <w:rFonts w:hint="eastAsia"/>
                <w:kern w:val="0"/>
                <w:sz w:val="20"/>
              </w:rPr>
              <w:t>、一氧化碳、氢气等，高度风险</w:t>
            </w:r>
          </w:p>
        </w:tc>
      </w:tr>
      <w:tr w14:paraId="7AD9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2C920190">
            <w:pPr>
              <w:pStyle w:val="44"/>
              <w:spacing w:before="0" w:beforeLines="0" w:after="0" w:afterLines="0"/>
              <w:ind w:firstLine="0" w:firstLineChars="0"/>
              <w:jc w:val="center"/>
              <w:rPr>
                <w:rFonts w:cs="Times New Roman"/>
                <w:kern w:val="0"/>
                <w:sz w:val="20"/>
              </w:rPr>
            </w:pPr>
          </w:p>
        </w:tc>
        <w:tc>
          <w:tcPr>
            <w:tcW w:w="2268" w:type="dxa"/>
            <w:vAlign w:val="center"/>
          </w:tcPr>
          <w:p w14:paraId="01FE44D5">
            <w:pPr>
              <w:pStyle w:val="44"/>
              <w:spacing w:before="0" w:beforeLines="0" w:after="0" w:afterLines="0"/>
              <w:ind w:firstLine="0" w:firstLineChars="0"/>
              <w:jc w:val="center"/>
              <w:rPr>
                <w:rFonts w:cs="Times New Roman"/>
                <w:kern w:val="0"/>
                <w:sz w:val="20"/>
              </w:rPr>
            </w:pPr>
            <w:r>
              <w:rPr>
                <w:rFonts w:hint="eastAsia" w:cs="Times New Roman"/>
                <w:kern w:val="0"/>
                <w:sz w:val="20"/>
              </w:rPr>
              <w:t>高温、高磁风险源</w:t>
            </w:r>
          </w:p>
        </w:tc>
        <w:tc>
          <w:tcPr>
            <w:tcW w:w="5492" w:type="dxa"/>
            <w:vAlign w:val="center"/>
          </w:tcPr>
          <w:p w14:paraId="0AB39D60">
            <w:pPr>
              <w:pStyle w:val="44"/>
              <w:spacing w:before="0" w:beforeLines="0" w:after="0" w:afterLines="0"/>
              <w:ind w:firstLine="0" w:firstLineChars="0"/>
              <w:jc w:val="center"/>
              <w:rPr>
                <w:kern w:val="0"/>
                <w:sz w:val="20"/>
              </w:rPr>
            </w:pPr>
            <w:r>
              <w:rPr>
                <w:rFonts w:hint="eastAsia"/>
                <w:kern w:val="0"/>
                <w:sz w:val="20"/>
              </w:rPr>
              <w:t>存在高温火源或高磁性磁源，高度风险</w:t>
            </w:r>
          </w:p>
        </w:tc>
      </w:tr>
    </w:tbl>
    <w:p w14:paraId="0169C6D9">
      <w:pPr>
        <w:pStyle w:val="57"/>
        <w:numPr>
          <w:ilvl w:val="0"/>
          <w:numId w:val="0"/>
        </w:numPr>
        <w:rPr>
          <w:b w:val="0"/>
          <w:bCs w:val="0"/>
        </w:rPr>
      </w:pPr>
      <w:bookmarkStart w:id="28" w:name="_Toc130762919"/>
      <w:r>
        <w:rPr>
          <w:b w:val="0"/>
          <w:bCs w:val="0"/>
        </w:rPr>
        <w:t xml:space="preserve">6.3 </w:t>
      </w:r>
      <w:r>
        <w:rPr>
          <w:rFonts w:hint="eastAsia"/>
          <w:b w:val="0"/>
          <w:bCs w:val="0"/>
        </w:rPr>
        <w:t>监测技术</w:t>
      </w:r>
      <w:bookmarkEnd w:id="28"/>
    </w:p>
    <w:p w14:paraId="6905E311">
      <w:pPr>
        <w:pStyle w:val="66"/>
        <w:numPr>
          <w:ilvl w:val="0"/>
          <w:numId w:val="0"/>
        </w:numPr>
        <w:spacing w:before="156" w:after="156"/>
        <w:rPr>
          <w:rFonts w:cs="Times New Roman"/>
          <w:b w:val="0"/>
          <w:bCs w:val="0"/>
        </w:rPr>
      </w:pPr>
      <w:r>
        <w:rPr>
          <w:rFonts w:cs="Times New Roman"/>
          <w:b w:val="0"/>
          <w:bCs w:val="0"/>
        </w:rPr>
        <w:t xml:space="preserve">6.3.1 </w:t>
      </w:r>
      <w:r>
        <w:rPr>
          <w:rFonts w:hint="eastAsia" w:cs="Times New Roman"/>
          <w:b w:val="0"/>
          <w:bCs w:val="0"/>
        </w:rPr>
        <w:t>预警监控预警系统设备要求</w:t>
      </w:r>
    </w:p>
    <w:p w14:paraId="0E1260B9">
      <w:pPr>
        <w:pStyle w:val="44"/>
        <w:spacing w:before="156" w:after="156"/>
        <w:ind w:firstLine="420"/>
        <w:rPr>
          <w:rFonts w:cs="Times New Roman"/>
        </w:rPr>
      </w:pPr>
      <w:r>
        <w:rPr>
          <w:rFonts w:cs="Times New Roman"/>
        </w:rPr>
        <w:t xml:space="preserve">6.3.1.1 </w:t>
      </w:r>
      <w:r>
        <w:rPr>
          <w:rFonts w:hint="eastAsia" w:cs="Times New Roman"/>
        </w:rPr>
        <w:t>监控预警系统应采用分层分布式结构，采取冗余配置，具有可扩展性，并满足系统可靠性、实时性要求。</w:t>
      </w:r>
    </w:p>
    <w:p w14:paraId="777027BB">
      <w:pPr>
        <w:pStyle w:val="44"/>
        <w:spacing w:before="156" w:after="156"/>
        <w:ind w:firstLine="420"/>
        <w:rPr>
          <w:rFonts w:cs="Times New Roman"/>
        </w:rPr>
      </w:pPr>
      <w:r>
        <w:rPr>
          <w:rFonts w:cs="Times New Roman"/>
        </w:rPr>
        <w:t xml:space="preserve">6.3.1.2 </w:t>
      </w:r>
      <w:r>
        <w:rPr>
          <w:rFonts w:hint="eastAsia" w:cs="Times New Roman"/>
        </w:rPr>
        <w:t>监控预警系统网络安全防护应符合</w:t>
      </w:r>
      <w:r>
        <w:rPr>
          <w:rFonts w:cs="Times New Roman"/>
        </w:rPr>
        <w:t>GB/T 22239</w:t>
      </w:r>
      <w:r>
        <w:rPr>
          <w:rFonts w:hint="eastAsia" w:cs="Times New Roman"/>
        </w:rPr>
        <w:t>、</w:t>
      </w:r>
      <w:r>
        <w:rPr>
          <w:rFonts w:cs="Times New Roman"/>
        </w:rPr>
        <w:t>GB/T 36572</w:t>
      </w:r>
      <w:r>
        <w:rPr>
          <w:rFonts w:hint="eastAsia" w:cs="Times New Roman"/>
        </w:rPr>
        <w:t>的规定。</w:t>
      </w:r>
    </w:p>
    <w:p w14:paraId="2E718DC9">
      <w:pPr>
        <w:pStyle w:val="44"/>
        <w:spacing w:before="156" w:after="156"/>
        <w:ind w:firstLine="420"/>
      </w:pPr>
      <w:r>
        <w:rPr>
          <w:rFonts w:cs="Times New Roman"/>
        </w:rPr>
        <w:t xml:space="preserve">6.3.1.3 </w:t>
      </w:r>
      <w:r>
        <w:rPr>
          <w:rFonts w:hint="eastAsia" w:cs="Times New Roman"/>
        </w:rPr>
        <w:t>预警监控预警系统应满足在如下环境条件下能够正常工作，参考G</w:t>
      </w:r>
      <w:r>
        <w:rPr>
          <w:rFonts w:cs="Times New Roman"/>
        </w:rPr>
        <w:t>B/T 42726-2023</w:t>
      </w:r>
      <w:r>
        <w:rPr>
          <w:rFonts w:hint="eastAsia" w:cs="Times New Roman"/>
        </w:rPr>
        <w:t>，见下表。</w:t>
      </w:r>
    </w:p>
    <w:p w14:paraId="6233D570">
      <w:pPr>
        <w:pStyle w:val="76"/>
        <w:numPr>
          <w:ilvl w:val="0"/>
          <w:numId w:val="0"/>
        </w:numPr>
        <w:spacing w:before="156" w:after="156"/>
        <w:rPr>
          <w:rFonts w:cs="Times New Roman"/>
        </w:rPr>
      </w:pPr>
      <w:bookmarkStart w:id="29" w:name="_Toc11666"/>
      <w:r>
        <w:rPr>
          <w:rFonts w:hint="eastAsia" w:cs="Times New Roman"/>
        </w:rPr>
        <w:t>表9 预警监控预警系统工作条件要求</w:t>
      </w:r>
      <w:bookmarkEnd w:id="29"/>
    </w:p>
    <w:tbl>
      <w:tblPr>
        <w:tblStyle w:val="23"/>
        <w:tblW w:w="8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1892"/>
        <w:gridCol w:w="1888"/>
        <w:gridCol w:w="2940"/>
      </w:tblGrid>
      <w:tr w14:paraId="4B21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6BAC0179">
            <w:pPr>
              <w:autoSpaceDE w:val="0"/>
              <w:autoSpaceDN w:val="0"/>
              <w:spacing w:line="340" w:lineRule="exact"/>
              <w:jc w:val="center"/>
              <w:rPr>
                <w:rFonts w:ascii="Times New Roman" w:hAnsi="Times New Roman" w:cs="Times New Roman"/>
                <w:kern w:val="0"/>
                <w:sz w:val="18"/>
                <w:szCs w:val="18"/>
              </w:rPr>
            </w:pPr>
          </w:p>
        </w:tc>
        <w:tc>
          <w:tcPr>
            <w:tcW w:w="1892" w:type="dxa"/>
            <w:vAlign w:val="center"/>
          </w:tcPr>
          <w:p w14:paraId="4678AF81">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最低值</w:t>
            </w:r>
          </w:p>
        </w:tc>
        <w:tc>
          <w:tcPr>
            <w:tcW w:w="1888" w:type="dxa"/>
            <w:vAlign w:val="center"/>
          </w:tcPr>
          <w:p w14:paraId="4564D0A5">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最高值</w:t>
            </w:r>
          </w:p>
        </w:tc>
        <w:tc>
          <w:tcPr>
            <w:tcW w:w="2940" w:type="dxa"/>
            <w:vAlign w:val="center"/>
          </w:tcPr>
          <w:p w14:paraId="1BAD3C08">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备注</w:t>
            </w:r>
          </w:p>
        </w:tc>
      </w:tr>
      <w:tr w14:paraId="6D94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1C81D48F">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工作温度</w:t>
            </w:r>
          </w:p>
        </w:tc>
        <w:tc>
          <w:tcPr>
            <w:tcW w:w="1892" w:type="dxa"/>
            <w:vAlign w:val="center"/>
          </w:tcPr>
          <w:p w14:paraId="016E9E5F">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w:t>
            </w:r>
            <w:r>
              <w:rPr>
                <w:rFonts w:ascii="Times New Roman" w:hAnsi="Times New Roman" w:cs="Times New Roman"/>
                <w:kern w:val="0"/>
                <w:sz w:val="18"/>
                <w:szCs w:val="18"/>
              </w:rPr>
              <w:t>20</w:t>
            </w:r>
            <w:r>
              <w:rPr>
                <w:rFonts w:hint="eastAsia" w:ascii="Times New Roman" w:hAnsi="Times New Roman" w:cs="Times New Roman"/>
                <w:kern w:val="0"/>
                <w:sz w:val="18"/>
                <w:szCs w:val="18"/>
              </w:rPr>
              <w:t>℃</w:t>
            </w:r>
          </w:p>
        </w:tc>
        <w:tc>
          <w:tcPr>
            <w:tcW w:w="1888" w:type="dxa"/>
            <w:vAlign w:val="center"/>
          </w:tcPr>
          <w:p w14:paraId="4CAD0E70">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80</w:t>
            </w:r>
            <w:r>
              <w:rPr>
                <w:rFonts w:hint="eastAsia" w:ascii="Times New Roman" w:hAnsi="Times New Roman" w:cs="Times New Roman"/>
                <w:kern w:val="0"/>
                <w:sz w:val="18"/>
                <w:szCs w:val="18"/>
              </w:rPr>
              <w:t>℃</w:t>
            </w:r>
          </w:p>
        </w:tc>
        <w:tc>
          <w:tcPr>
            <w:tcW w:w="2940" w:type="dxa"/>
            <w:vAlign w:val="center"/>
          </w:tcPr>
          <w:p w14:paraId="2B5ED0E1">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r>
      <w:tr w14:paraId="2704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53C7D262">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环境湿度</w:t>
            </w:r>
          </w:p>
        </w:tc>
        <w:tc>
          <w:tcPr>
            <w:tcW w:w="1892" w:type="dxa"/>
            <w:vAlign w:val="center"/>
          </w:tcPr>
          <w:p w14:paraId="18F6773D">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888" w:type="dxa"/>
            <w:vAlign w:val="center"/>
          </w:tcPr>
          <w:p w14:paraId="6C72CD54">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90%</w:t>
            </w:r>
          </w:p>
        </w:tc>
        <w:tc>
          <w:tcPr>
            <w:tcW w:w="2940" w:type="dxa"/>
            <w:vAlign w:val="center"/>
          </w:tcPr>
          <w:p w14:paraId="40F5821E">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r>
      <w:tr w14:paraId="7C85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50704389">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振动冲击</w:t>
            </w:r>
          </w:p>
        </w:tc>
        <w:tc>
          <w:tcPr>
            <w:tcW w:w="1892" w:type="dxa"/>
            <w:vAlign w:val="center"/>
          </w:tcPr>
          <w:p w14:paraId="5BD72416">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c>
          <w:tcPr>
            <w:tcW w:w="1888" w:type="dxa"/>
            <w:vAlign w:val="center"/>
          </w:tcPr>
          <w:p w14:paraId="5939117D">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c>
          <w:tcPr>
            <w:tcW w:w="2940" w:type="dxa"/>
            <w:vAlign w:val="center"/>
          </w:tcPr>
          <w:p w14:paraId="0A4D5826">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水平和垂直振动加速度不高于</w:t>
            </w:r>
            <w:r>
              <w:rPr>
                <w:rFonts w:ascii="Times New Roman" w:hAnsi="Times New Roman" w:cs="Times New Roman"/>
                <w:kern w:val="0"/>
                <w:sz w:val="18"/>
                <w:szCs w:val="18"/>
              </w:rPr>
              <w:t>1m/s</w:t>
            </w:r>
            <w:r>
              <w:rPr>
                <w:rFonts w:ascii="Times New Roman" w:hAnsi="Times New Roman" w:cs="Times New Roman"/>
                <w:kern w:val="0"/>
                <w:sz w:val="18"/>
                <w:szCs w:val="18"/>
                <w:vertAlign w:val="superscript"/>
              </w:rPr>
              <w:t>2</w:t>
            </w:r>
            <w:r>
              <w:rPr>
                <w:rFonts w:hint="eastAsia" w:ascii="Times New Roman" w:hAnsi="Times New Roman" w:cs="Times New Roman"/>
                <w:kern w:val="0"/>
                <w:sz w:val="18"/>
                <w:szCs w:val="18"/>
              </w:rPr>
              <w:t>条件下正常运行</w:t>
            </w:r>
          </w:p>
        </w:tc>
      </w:tr>
      <w:tr w14:paraId="0284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52E95CD4">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海拔</w:t>
            </w:r>
          </w:p>
        </w:tc>
        <w:tc>
          <w:tcPr>
            <w:tcW w:w="1892" w:type="dxa"/>
            <w:vAlign w:val="center"/>
          </w:tcPr>
          <w:p w14:paraId="6745E05E">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c>
          <w:tcPr>
            <w:tcW w:w="1888" w:type="dxa"/>
            <w:vAlign w:val="center"/>
          </w:tcPr>
          <w:p w14:paraId="7A45CA97">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3000m</w:t>
            </w:r>
          </w:p>
        </w:tc>
        <w:tc>
          <w:tcPr>
            <w:tcW w:w="2940" w:type="dxa"/>
            <w:vAlign w:val="center"/>
          </w:tcPr>
          <w:p w14:paraId="3A62B767">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海拔＞</w:t>
            </w:r>
            <w:r>
              <w:rPr>
                <w:rFonts w:ascii="Times New Roman" w:hAnsi="Times New Roman" w:cs="Times New Roman"/>
                <w:kern w:val="0"/>
                <w:sz w:val="18"/>
                <w:szCs w:val="18"/>
              </w:rPr>
              <w:t>1000m</w:t>
            </w:r>
            <w:r>
              <w:rPr>
                <w:rFonts w:hint="eastAsia" w:ascii="Times New Roman" w:hAnsi="Times New Roman" w:cs="Times New Roman"/>
                <w:kern w:val="0"/>
                <w:sz w:val="18"/>
                <w:szCs w:val="18"/>
              </w:rPr>
              <w:t>时，按照</w:t>
            </w:r>
            <w:r>
              <w:rPr>
                <w:rFonts w:ascii="Times New Roman" w:hAnsi="Times New Roman" w:cs="Times New Roman"/>
                <w:kern w:val="0"/>
                <w:sz w:val="18"/>
                <w:szCs w:val="18"/>
              </w:rPr>
              <w:t>GB/T 3859.2-2013</w:t>
            </w:r>
            <w:r>
              <w:rPr>
                <w:rFonts w:hint="eastAsia" w:ascii="Times New Roman" w:hAnsi="Times New Roman" w:cs="Times New Roman"/>
                <w:kern w:val="0"/>
                <w:sz w:val="18"/>
                <w:szCs w:val="18"/>
              </w:rPr>
              <w:t>的规定降额使用</w:t>
            </w:r>
          </w:p>
        </w:tc>
      </w:tr>
      <w:tr w14:paraId="53B6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vAlign w:val="center"/>
          </w:tcPr>
          <w:p w14:paraId="34638458">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其他</w:t>
            </w:r>
          </w:p>
        </w:tc>
        <w:tc>
          <w:tcPr>
            <w:tcW w:w="1892" w:type="dxa"/>
            <w:vAlign w:val="center"/>
          </w:tcPr>
          <w:p w14:paraId="46A957FD">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c>
          <w:tcPr>
            <w:tcW w:w="1888" w:type="dxa"/>
            <w:vAlign w:val="center"/>
          </w:tcPr>
          <w:p w14:paraId="5D6C9FA6">
            <w:pPr>
              <w:autoSpaceDE w:val="0"/>
              <w:autoSpaceDN w:val="0"/>
              <w:spacing w:line="340" w:lineRule="exact"/>
              <w:jc w:val="center"/>
              <w:rPr>
                <w:rFonts w:ascii="Times New Roman" w:hAnsi="Times New Roman" w:cs="Times New Roman"/>
                <w:kern w:val="0"/>
                <w:sz w:val="18"/>
                <w:szCs w:val="18"/>
              </w:rPr>
            </w:pPr>
            <w:r>
              <w:rPr>
                <w:rFonts w:ascii="Times New Roman" w:hAnsi="Times New Roman" w:cs="Times New Roman"/>
                <w:kern w:val="0"/>
                <w:sz w:val="18"/>
                <w:szCs w:val="18"/>
              </w:rPr>
              <w:t>/</w:t>
            </w:r>
          </w:p>
        </w:tc>
        <w:tc>
          <w:tcPr>
            <w:tcW w:w="2940" w:type="dxa"/>
            <w:vAlign w:val="center"/>
          </w:tcPr>
          <w:p w14:paraId="13C088D1">
            <w:pPr>
              <w:autoSpaceDE w:val="0"/>
              <w:autoSpaceDN w:val="0"/>
              <w:spacing w:line="34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设备内部不应凝露、结冰，垂直倾斜度＜</w:t>
            </w:r>
            <w:r>
              <w:rPr>
                <w:rFonts w:ascii="Times New Roman" w:hAnsi="Times New Roman" w:cs="Times New Roman"/>
                <w:kern w:val="0"/>
                <w:sz w:val="18"/>
                <w:szCs w:val="18"/>
              </w:rPr>
              <w:t>5</w:t>
            </w:r>
            <w:r>
              <w:rPr>
                <w:rFonts w:hint="eastAsia" w:ascii="Times New Roman" w:hAnsi="Times New Roman" w:cs="Times New Roman"/>
                <w:kern w:val="0"/>
                <w:sz w:val="18"/>
                <w:szCs w:val="18"/>
              </w:rPr>
              <w:t>°</w:t>
            </w:r>
          </w:p>
        </w:tc>
      </w:tr>
    </w:tbl>
    <w:p w14:paraId="57AD4451">
      <w:pPr>
        <w:pStyle w:val="66"/>
        <w:numPr>
          <w:ilvl w:val="0"/>
          <w:numId w:val="0"/>
        </w:numPr>
        <w:spacing w:before="156" w:after="156"/>
        <w:rPr>
          <w:rFonts w:cs="Times New Roman"/>
          <w:b w:val="0"/>
          <w:bCs w:val="0"/>
        </w:rPr>
      </w:pPr>
      <w:r>
        <w:rPr>
          <w:rFonts w:cs="Times New Roman"/>
          <w:b w:val="0"/>
          <w:bCs w:val="0"/>
        </w:rPr>
        <w:t xml:space="preserve">6.3.2 </w:t>
      </w:r>
      <w:r>
        <w:rPr>
          <w:rFonts w:hint="eastAsia" w:cs="Times New Roman"/>
          <w:b w:val="0"/>
          <w:bCs w:val="0"/>
        </w:rPr>
        <w:t>预警系统功能要求</w:t>
      </w:r>
    </w:p>
    <w:p w14:paraId="24B09663">
      <w:pPr>
        <w:pStyle w:val="77"/>
        <w:numPr>
          <w:ilvl w:val="0"/>
          <w:numId w:val="0"/>
        </w:numPr>
        <w:rPr>
          <w:rFonts w:cs="Times New Roman"/>
          <w:b w:val="0"/>
          <w:bCs w:val="0"/>
        </w:rPr>
      </w:pPr>
      <w:r>
        <w:rPr>
          <w:rFonts w:cs="Times New Roman"/>
          <w:b w:val="0"/>
          <w:bCs w:val="0"/>
        </w:rPr>
        <w:t xml:space="preserve">6.3.2.1 </w:t>
      </w:r>
      <w:r>
        <w:rPr>
          <w:rFonts w:hint="eastAsia" w:cs="Times New Roman"/>
          <w:b w:val="0"/>
          <w:bCs w:val="0"/>
        </w:rPr>
        <w:t>数据要求</w:t>
      </w:r>
    </w:p>
    <w:p w14:paraId="533C7C31">
      <w:pPr>
        <w:pStyle w:val="44"/>
        <w:spacing w:before="156" w:after="156"/>
        <w:ind w:firstLine="420"/>
        <w:rPr>
          <w:rFonts w:cs="Times New Roman"/>
        </w:rPr>
      </w:pPr>
      <w:r>
        <w:rPr>
          <w:rFonts w:hint="eastAsia" w:cs="Times New Roman"/>
        </w:rPr>
        <w:t>监控预警系统应具备实时采集和处理以下数据的能力：</w:t>
      </w:r>
    </w:p>
    <w:p w14:paraId="2FDB4A6C">
      <w:pPr>
        <w:pStyle w:val="44"/>
        <w:spacing w:before="156" w:after="156"/>
        <w:ind w:firstLine="420"/>
        <w:rPr>
          <w:rFonts w:cs="Times New Roman"/>
        </w:rPr>
      </w:pPr>
      <w:r>
        <w:rPr>
          <w:rFonts w:hint="eastAsia" w:cs="Times New Roman"/>
        </w:rPr>
        <w:t>——储能电池的电压、电流、电芯温度、工作温度、</w:t>
      </w:r>
      <w:r>
        <w:rPr>
          <w:rFonts w:cs="Times New Roman"/>
        </w:rPr>
        <w:t>SOC</w:t>
      </w:r>
      <w:r>
        <w:rPr>
          <w:rFonts w:hint="eastAsia" w:cs="Times New Roman"/>
        </w:rPr>
        <w:t>等模拟信号，以及开关位置、越限、故障报警、充放电状态等数字信号；</w:t>
      </w:r>
    </w:p>
    <w:p w14:paraId="6B1E8A91">
      <w:pPr>
        <w:pStyle w:val="44"/>
        <w:spacing w:before="156" w:after="156"/>
        <w:ind w:firstLine="420"/>
        <w:rPr>
          <w:rFonts w:cs="Times New Roman"/>
        </w:rPr>
      </w:pPr>
      <w:r>
        <w:rPr>
          <w:rFonts w:hint="eastAsia" w:cs="Times New Roman"/>
        </w:rPr>
        <w:t>——储能变流器的交直流电压、电流、功率、充放电量等模拟信号，以及越限、故障报警、开关机状态、设备运行模式等数字信号；</w:t>
      </w:r>
    </w:p>
    <w:p w14:paraId="328D08DF">
      <w:pPr>
        <w:pStyle w:val="44"/>
        <w:spacing w:before="156" w:after="156"/>
        <w:ind w:firstLine="420"/>
        <w:rPr>
          <w:rFonts w:cs="Times New Roman"/>
        </w:rPr>
      </w:pPr>
      <w:r>
        <w:rPr>
          <w:rFonts w:hint="eastAsia" w:cs="Times New Roman"/>
        </w:rPr>
        <w:t>——变配电系统的交流电压、电流、功率等模拟信号，以及保护动作、设备故障、断路器分合状态等数字信号；</w:t>
      </w:r>
    </w:p>
    <w:p w14:paraId="00CD148D">
      <w:pPr>
        <w:pStyle w:val="44"/>
        <w:spacing w:before="156" w:after="156"/>
        <w:ind w:firstLine="420"/>
        <w:rPr>
          <w:rFonts w:cs="Times New Roman"/>
        </w:rPr>
      </w:pPr>
      <w:r>
        <w:rPr>
          <w:rFonts w:hint="eastAsia" w:cs="Times New Roman"/>
        </w:rPr>
        <w:t>——视频监控、消防设施、供暖通风等辅助系统的信息；</w:t>
      </w:r>
    </w:p>
    <w:p w14:paraId="31DA2E71">
      <w:pPr>
        <w:pStyle w:val="44"/>
        <w:spacing w:before="156" w:after="156"/>
        <w:ind w:firstLine="420"/>
        <w:rPr>
          <w:rFonts w:cs="Times New Roman"/>
        </w:rPr>
      </w:pPr>
      <w:r>
        <w:rPr>
          <w:rFonts w:hint="eastAsia" w:cs="Times New Roman"/>
        </w:rPr>
        <w:t>监控预警系统应具备常用数学运算及逻辑计算功能，并支持充放电量、累计运行时长、统计最值等数据统计，可灵活设定统计周期。</w:t>
      </w:r>
    </w:p>
    <w:p w14:paraId="3AAD0455">
      <w:pPr>
        <w:pStyle w:val="44"/>
        <w:spacing w:before="156" w:after="156"/>
        <w:ind w:firstLine="420"/>
        <w:rPr>
          <w:rFonts w:cs="Times New Roman"/>
        </w:rPr>
      </w:pPr>
      <w:r>
        <w:rPr>
          <w:rFonts w:hint="eastAsia" w:cs="Times New Roman"/>
        </w:rPr>
        <w:t>监控预警系统应建立实时数据库，用于存储监控预警系统的报警信息、运行数据、计算数据等，并满足以下要求：</w:t>
      </w:r>
    </w:p>
    <w:p w14:paraId="2CE2DC7B">
      <w:pPr>
        <w:pStyle w:val="44"/>
        <w:spacing w:before="156" w:after="156"/>
        <w:ind w:firstLine="420"/>
        <w:rPr>
          <w:rFonts w:cs="Times New Roman"/>
        </w:rPr>
      </w:pPr>
      <w:r>
        <w:rPr>
          <w:rFonts w:hint="eastAsia" w:cs="Times New Roman"/>
        </w:rPr>
        <w:t>——支持灵活设定数据存储周期，具备不少于</w:t>
      </w:r>
      <w:r>
        <w:rPr>
          <w:rFonts w:cs="Times New Roman"/>
        </w:rPr>
        <w:t>2</w:t>
      </w:r>
      <w:r>
        <w:rPr>
          <w:rFonts w:hint="eastAsia" w:cs="Times New Roman"/>
        </w:rPr>
        <w:t>个月的历史数据存储能力；</w:t>
      </w:r>
    </w:p>
    <w:p w14:paraId="05A25CD5">
      <w:pPr>
        <w:pStyle w:val="44"/>
        <w:spacing w:before="156" w:after="156"/>
        <w:ind w:firstLine="420"/>
        <w:rPr>
          <w:rFonts w:cs="Times New Roman"/>
        </w:rPr>
      </w:pPr>
      <w:r>
        <w:rPr>
          <w:rFonts w:hint="eastAsia" w:cs="Times New Roman"/>
        </w:rPr>
        <w:t>——具备交互式查询、调用功能，允许不同程序对数据库内的同一数据进行并发访问；</w:t>
      </w:r>
    </w:p>
    <w:p w14:paraId="17FFE501">
      <w:pPr>
        <w:pStyle w:val="44"/>
        <w:spacing w:before="156" w:after="156"/>
        <w:ind w:firstLine="420"/>
        <w:rPr>
          <w:rFonts w:cs="Times New Roman"/>
        </w:rPr>
      </w:pPr>
      <w:r>
        <w:rPr>
          <w:rFonts w:hint="eastAsia" w:cs="Times New Roman"/>
        </w:rPr>
        <w:t>——在线生成、修改数据库时，数据库管理系统应对所有的工作站上相关数据同时进行修改；</w:t>
      </w:r>
    </w:p>
    <w:p w14:paraId="08092074">
      <w:pPr>
        <w:pStyle w:val="44"/>
        <w:spacing w:before="156" w:after="156"/>
        <w:ind w:firstLine="420"/>
        <w:rPr>
          <w:rFonts w:cs="Times New Roman"/>
        </w:rPr>
      </w:pPr>
      <w:r>
        <w:rPr>
          <w:rFonts w:hint="eastAsia" w:cs="Times New Roman"/>
        </w:rPr>
        <w:t>——在系统死机、硬件故障或者掉电时，数据库管理系统应能自动保护实时数据和历史数据，在故障排除后，应自动恢复至故障前状态；</w:t>
      </w:r>
    </w:p>
    <w:p w14:paraId="37AD2967">
      <w:pPr>
        <w:pStyle w:val="44"/>
        <w:spacing w:before="156" w:after="156"/>
        <w:ind w:firstLine="420"/>
        <w:rPr>
          <w:rFonts w:cs="Times New Roman"/>
        </w:rPr>
      </w:pPr>
      <w:r>
        <w:rPr>
          <w:rFonts w:hint="eastAsia" w:cs="Times New Roman"/>
        </w:rPr>
        <w:t>——具备对采集数据进行分析、处理、运算、预测的能力，对电池单体和电池簇的健康状态预测精度不低于9</w:t>
      </w:r>
      <w:r>
        <w:rPr>
          <w:rFonts w:cs="Times New Roman"/>
        </w:rPr>
        <w:t>5%</w:t>
      </w:r>
      <w:r>
        <w:rPr>
          <w:rFonts w:hint="eastAsia" w:cs="Times New Roman"/>
        </w:rPr>
        <w:t>，对电池单体和电池簇的风险表征参数的监测或状态估计精度不低于9</w:t>
      </w:r>
      <w:r>
        <w:rPr>
          <w:rFonts w:cs="Times New Roman"/>
        </w:rPr>
        <w:t>0%</w:t>
      </w:r>
      <w:r>
        <w:rPr>
          <w:rFonts w:hint="eastAsia" w:cs="Times New Roman"/>
        </w:rPr>
        <w:t>；</w:t>
      </w:r>
    </w:p>
    <w:p w14:paraId="2E20ADB0">
      <w:pPr>
        <w:pStyle w:val="44"/>
        <w:spacing w:before="156" w:after="156"/>
        <w:ind w:firstLine="420"/>
        <w:rPr>
          <w:rFonts w:cs="Times New Roman"/>
        </w:rPr>
      </w:pPr>
      <w:r>
        <w:rPr>
          <w:rFonts w:hint="eastAsia" w:cs="Times New Roman"/>
        </w:rPr>
        <w:t>采集的数据格式应能在过程控制系统、电池管理系统、能量管理系统等不同系统中被通用统一地识别处理。</w:t>
      </w:r>
    </w:p>
    <w:p w14:paraId="65F96B5C">
      <w:pPr>
        <w:pStyle w:val="77"/>
        <w:numPr>
          <w:ilvl w:val="0"/>
          <w:numId w:val="0"/>
        </w:numPr>
        <w:rPr>
          <w:rFonts w:cs="Times New Roman"/>
          <w:b w:val="0"/>
          <w:bCs w:val="0"/>
        </w:rPr>
      </w:pPr>
      <w:r>
        <w:rPr>
          <w:rFonts w:cs="Times New Roman"/>
          <w:b w:val="0"/>
          <w:bCs w:val="0"/>
        </w:rPr>
        <w:t xml:space="preserve">6.3.2.2 </w:t>
      </w:r>
      <w:r>
        <w:rPr>
          <w:rFonts w:hint="eastAsia" w:cs="Times New Roman"/>
          <w:b w:val="0"/>
          <w:bCs w:val="0"/>
        </w:rPr>
        <w:t>监控与报警要求</w:t>
      </w:r>
    </w:p>
    <w:p w14:paraId="507A5639">
      <w:pPr>
        <w:pStyle w:val="44"/>
        <w:spacing w:before="156" w:after="156"/>
        <w:ind w:firstLine="420"/>
        <w:rPr>
          <w:rFonts w:cs="Times New Roman"/>
        </w:rPr>
      </w:pPr>
      <w:r>
        <w:rPr>
          <w:rFonts w:hint="eastAsia" w:cs="Times New Roman"/>
        </w:rPr>
        <w:t>监控预警系统监视功能应具备以下能力：</w:t>
      </w:r>
    </w:p>
    <w:p w14:paraId="68622E8C">
      <w:pPr>
        <w:pStyle w:val="44"/>
        <w:spacing w:before="156" w:after="156"/>
        <w:ind w:firstLine="420"/>
        <w:rPr>
          <w:rFonts w:cs="Times New Roman"/>
        </w:rPr>
      </w:pPr>
      <w:r>
        <w:rPr>
          <w:rFonts w:hint="eastAsia" w:cs="Times New Roman"/>
        </w:rPr>
        <w:t>——应能对主要电气设备运行参数和设备状态进行监视；</w:t>
      </w:r>
    </w:p>
    <w:p w14:paraId="240C5894">
      <w:pPr>
        <w:pStyle w:val="44"/>
        <w:spacing w:before="156" w:after="156"/>
        <w:ind w:firstLine="420"/>
        <w:rPr>
          <w:rFonts w:cs="Times New Roman"/>
        </w:rPr>
      </w:pPr>
      <w:r>
        <w:rPr>
          <w:rFonts w:hint="eastAsia" w:cs="Times New Roman"/>
        </w:rPr>
        <w:t>——应能对监测、采集的数据进行分析，以支撑6</w:t>
      </w:r>
      <w:r>
        <w:rPr>
          <w:rFonts w:cs="Times New Roman"/>
        </w:rPr>
        <w:t>.2</w:t>
      </w:r>
      <w:r>
        <w:rPr>
          <w:rFonts w:hint="eastAsia" w:cs="Times New Roman"/>
        </w:rPr>
        <w:t>中的参数工作范围判断；</w:t>
      </w:r>
    </w:p>
    <w:p w14:paraId="1CB22D32">
      <w:pPr>
        <w:pStyle w:val="44"/>
        <w:spacing w:before="156" w:after="156"/>
        <w:ind w:firstLine="420"/>
        <w:rPr>
          <w:rFonts w:cs="Times New Roman"/>
        </w:rPr>
      </w:pPr>
      <w:r>
        <w:rPr>
          <w:rFonts w:hint="eastAsia" w:cs="Times New Roman"/>
        </w:rPr>
        <w:t>——应能监测储能电站空气中有害气体含量，包括氢气、硫化物、氮化物等；</w:t>
      </w:r>
    </w:p>
    <w:p w14:paraId="23F7D93C">
      <w:pPr>
        <w:pStyle w:val="44"/>
        <w:spacing w:before="156" w:after="156"/>
        <w:ind w:firstLine="420"/>
        <w:rPr>
          <w:rFonts w:cs="Times New Roman"/>
        </w:rPr>
      </w:pPr>
      <w:r>
        <w:rPr>
          <w:rFonts w:hint="eastAsia" w:cs="Times New Roman"/>
        </w:rPr>
        <w:t>——应能监视并实时显示各设备的通信状态和通信报文。</w:t>
      </w:r>
    </w:p>
    <w:p w14:paraId="09328F25">
      <w:pPr>
        <w:pStyle w:val="44"/>
        <w:spacing w:before="156" w:after="156"/>
        <w:ind w:firstLine="420"/>
        <w:rPr>
          <w:rFonts w:cs="Times New Roman"/>
        </w:rPr>
      </w:pPr>
      <w:r>
        <w:rPr>
          <w:rFonts w:hint="eastAsia" w:cs="Times New Roman"/>
        </w:rPr>
        <w:t>监控预警系统报警功能应具备以下能力：</w:t>
      </w:r>
    </w:p>
    <w:p w14:paraId="64A3FCE6">
      <w:pPr>
        <w:pStyle w:val="44"/>
        <w:spacing w:before="156" w:after="156"/>
        <w:ind w:firstLine="420"/>
        <w:rPr>
          <w:rFonts w:cs="Times New Roman"/>
        </w:rPr>
      </w:pPr>
      <w:r>
        <w:rPr>
          <w:rFonts w:hint="eastAsia" w:cs="Times New Roman"/>
        </w:rPr>
        <w:t>——监控预警系统应按照对储能电站的影响严重程度，报警等级从严重到一般设置至少三级；</w:t>
      </w:r>
    </w:p>
    <w:p w14:paraId="24C66AE1">
      <w:pPr>
        <w:pStyle w:val="44"/>
        <w:spacing w:before="156" w:after="156"/>
        <w:ind w:firstLine="420"/>
        <w:rPr>
          <w:rFonts w:cs="Times New Roman"/>
        </w:rPr>
      </w:pPr>
      <w:r>
        <w:rPr>
          <w:rFonts w:hint="eastAsia" w:cs="Times New Roman"/>
        </w:rPr>
        <w:t>——报警发生时，应按不同级别推出报警画面，报警形式包括声、光报警；</w:t>
      </w:r>
    </w:p>
    <w:p w14:paraId="78B02C43">
      <w:pPr>
        <w:pStyle w:val="44"/>
        <w:spacing w:before="156" w:after="156"/>
        <w:ind w:firstLine="420"/>
        <w:rPr>
          <w:rFonts w:cs="Times New Roman"/>
        </w:rPr>
      </w:pPr>
      <w:r>
        <w:rPr>
          <w:rFonts w:hint="eastAsia" w:cs="Times New Roman"/>
        </w:rPr>
        <w:t>——发生报警时，监控预警系统应能实时监测电池管理系统、储能变流器等设备的状态和动作情况；</w:t>
      </w:r>
    </w:p>
    <w:p w14:paraId="0AD1B5C8">
      <w:pPr>
        <w:pStyle w:val="44"/>
        <w:spacing w:before="156" w:after="156"/>
        <w:ind w:firstLine="420"/>
        <w:rPr>
          <w:rFonts w:cs="Times New Roman"/>
        </w:rPr>
      </w:pPr>
      <w:r>
        <w:rPr>
          <w:rFonts w:hint="eastAsia" w:cs="Times New Roman"/>
        </w:rPr>
        <w:t>——事故报警可以通过手动和自动方式进行确认，能现场配置报警处理方式；</w:t>
      </w:r>
    </w:p>
    <w:p w14:paraId="1A00DD3E">
      <w:pPr>
        <w:pStyle w:val="44"/>
        <w:spacing w:before="156" w:after="156"/>
        <w:ind w:firstLine="420"/>
        <w:rPr>
          <w:rFonts w:cs="Times New Roman"/>
        </w:rPr>
      </w:pPr>
      <w:r>
        <w:rPr>
          <w:rFonts w:hint="eastAsia" w:cs="Times New Roman"/>
        </w:rPr>
        <w:t>——监控预警系统应具备与上级数据平台交互的能力，可以主动发送监控数据；</w:t>
      </w:r>
    </w:p>
    <w:p w14:paraId="40C8E3E4">
      <w:pPr>
        <w:pStyle w:val="44"/>
        <w:spacing w:before="156" w:after="156"/>
        <w:ind w:firstLine="420"/>
        <w:rPr>
          <w:rFonts w:cs="Times New Roman"/>
        </w:rPr>
      </w:pPr>
      <w:r>
        <w:rPr>
          <w:rFonts w:hint="eastAsia" w:cs="Times New Roman"/>
        </w:rPr>
        <w:t>——监控预警系统应具备与消防部门、应急管理部门通信交互能力，可以主动发送消防报警信息。</w:t>
      </w:r>
    </w:p>
    <w:p w14:paraId="4B606661">
      <w:pPr>
        <w:pStyle w:val="77"/>
        <w:numPr>
          <w:ilvl w:val="0"/>
          <w:numId w:val="0"/>
        </w:numPr>
        <w:rPr>
          <w:rFonts w:cs="Times New Roman"/>
          <w:b w:val="0"/>
          <w:bCs w:val="0"/>
        </w:rPr>
      </w:pPr>
      <w:r>
        <w:rPr>
          <w:rFonts w:cs="Times New Roman"/>
          <w:b w:val="0"/>
          <w:bCs w:val="0"/>
        </w:rPr>
        <w:t xml:space="preserve">6.3.2.3 </w:t>
      </w:r>
      <w:r>
        <w:rPr>
          <w:rFonts w:hint="eastAsia" w:cs="Times New Roman"/>
          <w:b w:val="0"/>
          <w:bCs w:val="0"/>
        </w:rPr>
        <w:t>通信要求</w:t>
      </w:r>
    </w:p>
    <w:p w14:paraId="3A6C9419">
      <w:pPr>
        <w:pStyle w:val="44"/>
        <w:spacing w:before="156" w:after="156"/>
        <w:ind w:firstLine="420"/>
        <w:rPr>
          <w:rFonts w:cs="Times New Roman"/>
        </w:rPr>
      </w:pPr>
      <w:r>
        <w:rPr>
          <w:rFonts w:hint="eastAsia" w:cs="Times New Roman"/>
        </w:rPr>
        <w:t>监控预警系统设备间宜采用以太网通信，宜采用符合</w:t>
      </w:r>
      <w:r>
        <w:rPr>
          <w:rFonts w:cs="Times New Roman"/>
        </w:rPr>
        <w:t>DL/T 860</w:t>
      </w:r>
      <w:r>
        <w:rPr>
          <w:rFonts w:hint="eastAsia" w:cs="Times New Roman"/>
        </w:rPr>
        <w:t>等标准的通信协议。</w:t>
      </w:r>
    </w:p>
    <w:p w14:paraId="59F2427E">
      <w:pPr>
        <w:pStyle w:val="44"/>
        <w:spacing w:before="156" w:after="156"/>
        <w:ind w:firstLine="420"/>
        <w:rPr>
          <w:rFonts w:cs="Times New Roman"/>
        </w:rPr>
      </w:pPr>
      <w:r>
        <w:rPr>
          <w:rFonts w:hint="eastAsia" w:cs="Times New Roman"/>
        </w:rPr>
        <w:t>监控预警系统应支持网络接口、串行接口等标准接口，宜通过数据网通道、专线通道、电力用无线通道与上级调度通信，并具备与一个或多个上级调度信息交互的能力。</w:t>
      </w:r>
    </w:p>
    <w:p w14:paraId="47480499">
      <w:pPr>
        <w:pStyle w:val="44"/>
        <w:spacing w:before="156" w:after="156"/>
        <w:ind w:firstLine="420"/>
        <w:rPr>
          <w:rFonts w:cs="Times New Roman"/>
        </w:rPr>
      </w:pPr>
      <w:r>
        <w:rPr>
          <w:rFonts w:hint="eastAsia" w:cs="Times New Roman"/>
        </w:rPr>
        <w:t>监控预警系统应具备通信通道故障报警功能，在有冗余通道的情况下应能自动完成主备通道的平稳切换。</w:t>
      </w:r>
    </w:p>
    <w:p w14:paraId="3B345AE6">
      <w:pPr>
        <w:pStyle w:val="44"/>
        <w:spacing w:before="156" w:after="156"/>
        <w:ind w:firstLine="420"/>
        <w:rPr>
          <w:rFonts w:cs="Times New Roman"/>
        </w:rPr>
      </w:pPr>
      <w:r>
        <w:rPr>
          <w:rFonts w:hint="eastAsia" w:cs="Times New Roman"/>
        </w:rPr>
        <w:t>监控预警系统宜预留与站内其他系统或设备通信接口，包括但不限于</w:t>
      </w:r>
      <w:r>
        <w:rPr>
          <w:rFonts w:cs="Times New Roman"/>
        </w:rPr>
        <w:t>：</w:t>
      </w:r>
    </w:p>
    <w:p w14:paraId="016B9193">
      <w:pPr>
        <w:pStyle w:val="44"/>
        <w:spacing w:before="156" w:after="156"/>
        <w:ind w:firstLine="420"/>
        <w:rPr>
          <w:rFonts w:cs="Times New Roman"/>
        </w:rPr>
      </w:pPr>
      <w:r>
        <w:rPr>
          <w:rFonts w:hint="eastAsia" w:cs="Times New Roman"/>
        </w:rPr>
        <w:t>——电能计量系统；</w:t>
      </w:r>
    </w:p>
    <w:p w14:paraId="6120702D">
      <w:pPr>
        <w:pStyle w:val="44"/>
        <w:spacing w:before="156" w:after="156"/>
        <w:ind w:firstLine="420"/>
        <w:rPr>
          <w:rFonts w:cs="Times New Roman"/>
        </w:rPr>
      </w:pPr>
      <w:r>
        <w:rPr>
          <w:rFonts w:hint="eastAsia" w:cs="Times New Roman"/>
        </w:rPr>
        <w:t>——电能质量监测系统；</w:t>
      </w:r>
    </w:p>
    <w:p w14:paraId="77A0E9AC">
      <w:pPr>
        <w:pStyle w:val="44"/>
        <w:spacing w:before="156" w:after="156"/>
        <w:ind w:firstLine="420"/>
        <w:rPr>
          <w:rFonts w:cs="Times New Roman"/>
        </w:rPr>
      </w:pPr>
      <w:r>
        <w:rPr>
          <w:rFonts w:hint="eastAsia" w:cs="Times New Roman"/>
        </w:rPr>
        <w:t>——视频及环境监控预警系统；</w:t>
      </w:r>
    </w:p>
    <w:p w14:paraId="618F2D8A">
      <w:pPr>
        <w:pStyle w:val="44"/>
        <w:spacing w:before="156" w:after="156"/>
        <w:ind w:firstLine="420"/>
        <w:rPr>
          <w:rFonts w:cs="Times New Roman"/>
        </w:rPr>
      </w:pPr>
      <w:r>
        <w:rPr>
          <w:rFonts w:hint="eastAsia" w:cs="Times New Roman"/>
        </w:rPr>
        <w:t>——交直流电源系统；</w:t>
      </w:r>
    </w:p>
    <w:p w14:paraId="2F99B74B">
      <w:pPr>
        <w:pStyle w:val="44"/>
        <w:spacing w:before="156" w:after="156"/>
        <w:ind w:firstLine="420"/>
        <w:rPr>
          <w:rFonts w:cs="Times New Roman"/>
        </w:rPr>
      </w:pPr>
      <w:r>
        <w:rPr>
          <w:rFonts w:hint="eastAsia" w:cs="Times New Roman"/>
        </w:rPr>
        <w:t>——火灾自动报警系统。</w:t>
      </w:r>
    </w:p>
    <w:p w14:paraId="00B16089">
      <w:pPr>
        <w:pStyle w:val="77"/>
        <w:numPr>
          <w:ilvl w:val="0"/>
          <w:numId w:val="0"/>
        </w:numPr>
        <w:rPr>
          <w:rFonts w:cs="Times New Roman"/>
          <w:b w:val="0"/>
          <w:bCs w:val="0"/>
        </w:rPr>
      </w:pPr>
      <w:r>
        <w:rPr>
          <w:rFonts w:cs="Times New Roman"/>
          <w:b w:val="0"/>
          <w:bCs w:val="0"/>
        </w:rPr>
        <w:t xml:space="preserve">6.3.2.4 </w:t>
      </w:r>
      <w:r>
        <w:rPr>
          <w:rFonts w:hint="eastAsia" w:cs="Times New Roman"/>
          <w:b w:val="0"/>
          <w:bCs w:val="0"/>
        </w:rPr>
        <w:t>控制与调试要求</w:t>
      </w:r>
    </w:p>
    <w:p w14:paraId="77354470">
      <w:pPr>
        <w:pStyle w:val="44"/>
        <w:spacing w:before="156" w:after="156"/>
        <w:ind w:firstLine="420"/>
        <w:rPr>
          <w:rFonts w:cs="Times New Roman"/>
        </w:rPr>
      </w:pPr>
      <w:r>
        <w:rPr>
          <w:rFonts w:hint="eastAsia" w:cs="Times New Roman"/>
        </w:rPr>
        <w:t>监控预警系统应能接收上级调度指令，通过储能变流器等设备实现有功及无功控制调节。</w:t>
      </w:r>
    </w:p>
    <w:p w14:paraId="32BC5A6E">
      <w:pPr>
        <w:pStyle w:val="44"/>
        <w:spacing w:before="156" w:after="156"/>
        <w:ind w:firstLine="420"/>
        <w:rPr>
          <w:rFonts w:cs="Times New Roman"/>
        </w:rPr>
      </w:pPr>
      <w:r>
        <w:rPr>
          <w:rFonts w:hint="eastAsia" w:cs="Times New Roman"/>
        </w:rPr>
        <w:t>监控预警系统应具备对全站设备的控制功能，控制操作应包含以下内容：</w:t>
      </w:r>
    </w:p>
    <w:p w14:paraId="361749A2">
      <w:pPr>
        <w:pStyle w:val="44"/>
        <w:spacing w:before="156" w:after="156"/>
        <w:ind w:firstLine="420"/>
        <w:rPr>
          <w:rFonts w:cs="Times New Roman"/>
        </w:rPr>
      </w:pPr>
      <w:r>
        <w:rPr>
          <w:rFonts w:hint="eastAsia" w:cs="Times New Roman"/>
        </w:rPr>
        <w:t>——对储能系统启停控制、充</w:t>
      </w:r>
      <w:r>
        <w:rPr>
          <w:rFonts w:cs="Times New Roman"/>
        </w:rPr>
        <w:t>/</w:t>
      </w:r>
      <w:r>
        <w:rPr>
          <w:rFonts w:hint="eastAsia" w:cs="Times New Roman"/>
        </w:rPr>
        <w:t>放电工况切换、并</w:t>
      </w:r>
      <w:r>
        <w:rPr>
          <w:rFonts w:cs="Times New Roman"/>
        </w:rPr>
        <w:t>/</w:t>
      </w:r>
      <w:r>
        <w:rPr>
          <w:rFonts w:hint="eastAsia" w:cs="Times New Roman"/>
        </w:rPr>
        <w:t>离网运行模式切换等；</w:t>
      </w:r>
    </w:p>
    <w:p w14:paraId="2E29CF7F">
      <w:pPr>
        <w:pStyle w:val="44"/>
        <w:spacing w:before="156" w:after="156"/>
        <w:ind w:firstLine="420"/>
        <w:rPr>
          <w:rFonts w:cs="Times New Roman"/>
        </w:rPr>
      </w:pPr>
      <w:r>
        <w:rPr>
          <w:rFonts w:hint="eastAsia" w:cs="Times New Roman"/>
        </w:rPr>
        <w:t>——分合断路器、隔离开关、电动手车等变配电设备；</w:t>
      </w:r>
    </w:p>
    <w:p w14:paraId="2B07C7F8">
      <w:pPr>
        <w:pStyle w:val="44"/>
        <w:spacing w:before="156" w:after="156"/>
        <w:ind w:firstLine="420"/>
        <w:rPr>
          <w:rFonts w:cs="Times New Roman"/>
        </w:rPr>
      </w:pPr>
      <w:r>
        <w:rPr>
          <w:rFonts w:hint="eastAsia" w:cs="Times New Roman"/>
        </w:rPr>
        <w:t>——操作视频摄像头、门禁等辅助系统设备。</w:t>
      </w:r>
    </w:p>
    <w:p w14:paraId="33032318">
      <w:pPr>
        <w:pStyle w:val="44"/>
        <w:spacing w:before="156" w:after="156"/>
        <w:ind w:firstLine="420"/>
        <w:rPr>
          <w:rFonts w:cs="Times New Roman"/>
        </w:rPr>
      </w:pPr>
      <w:r>
        <w:rPr>
          <w:rFonts w:hint="eastAsia" w:cs="Times New Roman"/>
        </w:rPr>
        <w:t>——监控预警系统应具备自动控制和手动控制两种控制方式，两种控制方式间可相互切换，且遵循操作唯一性原则。</w:t>
      </w:r>
    </w:p>
    <w:p w14:paraId="192721CC">
      <w:pPr>
        <w:pStyle w:val="44"/>
        <w:spacing w:before="156" w:after="156"/>
        <w:ind w:firstLine="420"/>
        <w:rPr>
          <w:rFonts w:cs="Times New Roman"/>
        </w:rPr>
      </w:pPr>
      <w:r>
        <w:rPr>
          <w:rFonts w:hint="eastAsia" w:cs="Times New Roman"/>
        </w:rPr>
        <w:t>监控预警系统宜支持以下电站运行模式</w:t>
      </w:r>
      <w:r>
        <w:rPr>
          <w:rFonts w:cs="Times New Roman"/>
        </w:rPr>
        <w:t>：</w:t>
      </w:r>
    </w:p>
    <w:p w14:paraId="73E12A78">
      <w:pPr>
        <w:pStyle w:val="44"/>
        <w:spacing w:before="156" w:after="156"/>
        <w:ind w:firstLine="420"/>
        <w:rPr>
          <w:rFonts w:cs="Times New Roman"/>
        </w:rPr>
      </w:pPr>
      <w:r>
        <w:rPr>
          <w:rFonts w:hint="eastAsia" w:cs="Times New Roman"/>
        </w:rPr>
        <w:t>——削峰填谷；</w:t>
      </w:r>
      <w:r>
        <w:rPr>
          <w:rFonts w:cs="Times New Roman"/>
        </w:rPr>
        <w:t xml:space="preserve"> </w:t>
      </w:r>
    </w:p>
    <w:p w14:paraId="20B647AB">
      <w:pPr>
        <w:pStyle w:val="44"/>
        <w:spacing w:before="156" w:after="156"/>
        <w:ind w:firstLine="420"/>
        <w:rPr>
          <w:rFonts w:cs="Times New Roman"/>
        </w:rPr>
      </w:pPr>
      <w:r>
        <w:rPr>
          <w:rFonts w:hint="eastAsia" w:cs="Times New Roman"/>
        </w:rPr>
        <w:t>——孤网运行；</w:t>
      </w:r>
      <w:r>
        <w:rPr>
          <w:rFonts w:cs="Times New Roman"/>
        </w:rPr>
        <w:t xml:space="preserve"> </w:t>
      </w:r>
    </w:p>
    <w:p w14:paraId="2847359C">
      <w:pPr>
        <w:pStyle w:val="44"/>
        <w:spacing w:before="156" w:after="156"/>
        <w:ind w:firstLine="420"/>
        <w:rPr>
          <w:rFonts w:cs="Times New Roman"/>
        </w:rPr>
      </w:pPr>
      <w:r>
        <w:rPr>
          <w:rFonts w:hint="eastAsia" w:cs="Times New Roman"/>
        </w:rPr>
        <w:t>——调峰</w:t>
      </w:r>
      <w:r>
        <w:rPr>
          <w:rFonts w:cs="Times New Roman"/>
        </w:rPr>
        <w:t>/</w:t>
      </w:r>
      <w:r>
        <w:rPr>
          <w:rFonts w:hint="eastAsia" w:cs="Times New Roman"/>
        </w:rPr>
        <w:t>调频；</w:t>
      </w:r>
      <w:r>
        <w:rPr>
          <w:rFonts w:cs="Times New Roman"/>
        </w:rPr>
        <w:t xml:space="preserve"> </w:t>
      </w:r>
    </w:p>
    <w:p w14:paraId="370EDEA7">
      <w:pPr>
        <w:pStyle w:val="44"/>
        <w:spacing w:before="156" w:after="156"/>
        <w:ind w:firstLine="420"/>
        <w:rPr>
          <w:rFonts w:cs="Times New Roman"/>
        </w:rPr>
      </w:pPr>
      <w:r>
        <w:rPr>
          <w:rFonts w:hint="eastAsia" w:cs="Times New Roman"/>
        </w:rPr>
        <w:t>——电压控制；</w:t>
      </w:r>
      <w:r>
        <w:rPr>
          <w:rFonts w:cs="Times New Roman"/>
        </w:rPr>
        <w:t xml:space="preserve"> </w:t>
      </w:r>
    </w:p>
    <w:p w14:paraId="008E50E8">
      <w:pPr>
        <w:pStyle w:val="44"/>
        <w:spacing w:before="156" w:after="156"/>
        <w:ind w:firstLine="420"/>
        <w:rPr>
          <w:rFonts w:cs="Times New Roman"/>
        </w:rPr>
      </w:pPr>
      <w:r>
        <w:rPr>
          <w:rFonts w:hint="eastAsia" w:cs="Times New Roman"/>
        </w:rPr>
        <w:t>——电能质量治理；</w:t>
      </w:r>
    </w:p>
    <w:p w14:paraId="445098EB">
      <w:pPr>
        <w:pStyle w:val="44"/>
        <w:spacing w:before="156" w:after="156"/>
        <w:ind w:firstLine="420"/>
        <w:rPr>
          <w:rFonts w:cs="Times New Roman"/>
        </w:rPr>
      </w:pPr>
      <w:r>
        <w:rPr>
          <w:rFonts w:hint="eastAsia" w:cs="Times New Roman"/>
        </w:rPr>
        <w:t>——平滑功率输出；</w:t>
      </w:r>
    </w:p>
    <w:p w14:paraId="1EB73D50">
      <w:pPr>
        <w:pStyle w:val="44"/>
        <w:spacing w:before="156" w:after="156"/>
        <w:ind w:firstLine="420"/>
        <w:rPr>
          <w:rFonts w:cs="Times New Roman"/>
        </w:rPr>
      </w:pPr>
      <w:r>
        <w:rPr>
          <w:rFonts w:hint="eastAsia" w:cs="Times New Roman"/>
        </w:rPr>
        <w:t>——跟踪计划曲线；</w:t>
      </w:r>
    </w:p>
    <w:p w14:paraId="4F177F3D">
      <w:pPr>
        <w:pStyle w:val="44"/>
        <w:spacing w:before="156" w:after="156"/>
        <w:ind w:firstLine="420"/>
        <w:rPr>
          <w:rFonts w:cs="Times New Roman"/>
        </w:rPr>
      </w:pPr>
      <w:r>
        <w:rPr>
          <w:rFonts w:hint="eastAsia" w:cs="Times New Roman"/>
        </w:rPr>
        <w:t>——备用电源供电。</w:t>
      </w:r>
    </w:p>
    <w:p w14:paraId="2B692FD6">
      <w:pPr>
        <w:pStyle w:val="77"/>
        <w:numPr>
          <w:ilvl w:val="0"/>
          <w:numId w:val="0"/>
        </w:numPr>
        <w:rPr>
          <w:rFonts w:cs="Times New Roman"/>
          <w:b w:val="0"/>
          <w:bCs w:val="0"/>
        </w:rPr>
      </w:pPr>
      <w:r>
        <w:rPr>
          <w:rFonts w:cs="Times New Roman"/>
          <w:b w:val="0"/>
          <w:bCs w:val="0"/>
        </w:rPr>
        <w:t xml:space="preserve">6.3.2.5 </w:t>
      </w:r>
      <w:r>
        <w:rPr>
          <w:rFonts w:hint="eastAsia" w:cs="Times New Roman"/>
          <w:b w:val="0"/>
          <w:bCs w:val="0"/>
        </w:rPr>
        <w:t>人机交互要求</w:t>
      </w:r>
    </w:p>
    <w:p w14:paraId="1A2765A6">
      <w:pPr>
        <w:pStyle w:val="44"/>
        <w:spacing w:before="156" w:after="156"/>
        <w:ind w:firstLine="420"/>
        <w:rPr>
          <w:rFonts w:cs="Times New Roman"/>
        </w:rPr>
      </w:pPr>
      <w:r>
        <w:rPr>
          <w:rFonts w:hint="eastAsia" w:cs="Times New Roman"/>
        </w:rPr>
        <w:t>人机接口应支持多窗口、分层、画面缩放、打印输出等功能，可实时显示关键设备运行状态。</w:t>
      </w:r>
    </w:p>
    <w:p w14:paraId="5678615C">
      <w:pPr>
        <w:pStyle w:val="44"/>
        <w:spacing w:before="156" w:after="156"/>
        <w:ind w:firstLine="420"/>
        <w:rPr>
          <w:rFonts w:cs="Times New Roman"/>
        </w:rPr>
      </w:pPr>
      <w:r>
        <w:rPr>
          <w:rFonts w:hint="eastAsia" w:cs="Times New Roman"/>
        </w:rPr>
        <w:t>监控预警系统应能与数据库相关联，支持检索查询历史报警信息，能够生成不同格式和类型的报表，能够以饼状图或柱状图的形式显示数据信息，并打印输出。</w:t>
      </w:r>
    </w:p>
    <w:p w14:paraId="17D6F666">
      <w:pPr>
        <w:pStyle w:val="44"/>
        <w:spacing w:before="156" w:after="156"/>
        <w:ind w:firstLine="420"/>
        <w:rPr>
          <w:rFonts w:cs="Times New Roman"/>
        </w:rPr>
      </w:pPr>
      <w:r>
        <w:rPr>
          <w:rFonts w:hint="eastAsia" w:cs="Times New Roman"/>
        </w:rPr>
        <w:t>监控预警系统人机接口应具备权限设置功能，支持控制权限设置。</w:t>
      </w:r>
    </w:p>
    <w:p w14:paraId="43CDBCAF">
      <w:pPr>
        <w:pStyle w:val="77"/>
        <w:numPr>
          <w:ilvl w:val="0"/>
          <w:numId w:val="0"/>
        </w:numPr>
        <w:rPr>
          <w:rFonts w:cs="Times New Roman"/>
          <w:b w:val="0"/>
          <w:bCs w:val="0"/>
        </w:rPr>
      </w:pPr>
      <w:r>
        <w:rPr>
          <w:rFonts w:cs="Times New Roman"/>
          <w:b w:val="0"/>
          <w:bCs w:val="0"/>
        </w:rPr>
        <w:t xml:space="preserve">6.3.2.6 </w:t>
      </w:r>
      <w:r>
        <w:rPr>
          <w:rFonts w:hint="eastAsia" w:cs="Times New Roman"/>
          <w:b w:val="0"/>
          <w:bCs w:val="0"/>
        </w:rPr>
        <w:t>功能要求</w:t>
      </w:r>
    </w:p>
    <w:p w14:paraId="494C60DC">
      <w:pPr>
        <w:pStyle w:val="44"/>
        <w:spacing w:before="156" w:after="156"/>
        <w:ind w:firstLine="420"/>
        <w:rPr>
          <w:rFonts w:cs="Times New Roman"/>
        </w:rPr>
      </w:pPr>
      <w:r>
        <w:rPr>
          <w:rFonts w:hint="eastAsia" w:cs="Times New Roman"/>
        </w:rPr>
        <w:t>监控预警系统数据性能应满足以下要求：</w:t>
      </w:r>
    </w:p>
    <w:p w14:paraId="7704A042">
      <w:pPr>
        <w:pStyle w:val="44"/>
        <w:spacing w:before="156" w:after="156"/>
        <w:ind w:firstLine="420"/>
        <w:rPr>
          <w:rFonts w:cs="Times New Roman"/>
        </w:rPr>
      </w:pPr>
      <w:r>
        <w:rPr>
          <w:rFonts w:hint="eastAsia" w:cs="Times New Roman"/>
        </w:rPr>
        <w:t>——数字信号从</w:t>
      </w:r>
      <w:r>
        <w:rPr>
          <w:rFonts w:cs="Times New Roman"/>
        </w:rPr>
        <w:t>I/O</w:t>
      </w:r>
      <w:r>
        <w:rPr>
          <w:rFonts w:hint="eastAsia" w:cs="Times New Roman"/>
        </w:rPr>
        <w:t>输入端至控制系统显示屏响应时间：≤</w:t>
      </w:r>
      <w:r>
        <w:rPr>
          <w:rFonts w:cs="Times New Roman"/>
        </w:rPr>
        <w:t>1s</w:t>
      </w:r>
      <w:r>
        <w:rPr>
          <w:rFonts w:hint="eastAsia" w:cs="Times New Roman"/>
        </w:rPr>
        <w:t>；</w:t>
      </w:r>
    </w:p>
    <w:p w14:paraId="16E99F85">
      <w:pPr>
        <w:pStyle w:val="44"/>
        <w:spacing w:before="156" w:after="156"/>
        <w:ind w:firstLine="420"/>
        <w:rPr>
          <w:rFonts w:cs="Times New Roman"/>
        </w:rPr>
      </w:pPr>
      <w:r>
        <w:rPr>
          <w:rFonts w:hint="eastAsia" w:cs="Times New Roman"/>
        </w:rPr>
        <w:t>——模拟信号从</w:t>
      </w:r>
      <w:r>
        <w:rPr>
          <w:rFonts w:cs="Times New Roman"/>
        </w:rPr>
        <w:t>I/O</w:t>
      </w:r>
      <w:r>
        <w:rPr>
          <w:rFonts w:hint="eastAsia" w:cs="Times New Roman"/>
        </w:rPr>
        <w:t>输入端至控制系统显示屏响应时间：≤</w:t>
      </w:r>
      <w:r>
        <w:rPr>
          <w:rFonts w:cs="Times New Roman"/>
        </w:rPr>
        <w:t>2s</w:t>
      </w:r>
      <w:r>
        <w:rPr>
          <w:rFonts w:hint="eastAsia" w:cs="Times New Roman"/>
        </w:rPr>
        <w:t>；</w:t>
      </w:r>
    </w:p>
    <w:p w14:paraId="1BD0C3EF">
      <w:pPr>
        <w:pStyle w:val="44"/>
        <w:spacing w:before="156" w:after="156"/>
        <w:ind w:firstLine="420"/>
        <w:rPr>
          <w:rFonts w:cs="Times New Roman"/>
        </w:rPr>
      </w:pPr>
      <w:r>
        <w:rPr>
          <w:rFonts w:hint="eastAsia" w:cs="Times New Roman"/>
        </w:rPr>
        <w:t>——电压、电流采集误差≤</w:t>
      </w:r>
      <w:r>
        <w:rPr>
          <w:rFonts w:cs="Times New Roman"/>
        </w:rPr>
        <w:t>0.5%</w:t>
      </w:r>
      <w:r>
        <w:rPr>
          <w:rFonts w:hint="eastAsia" w:cs="Times New Roman"/>
        </w:rPr>
        <w:t>，功率采集误差≤</w:t>
      </w:r>
      <w:r>
        <w:rPr>
          <w:rFonts w:cs="Times New Roman"/>
        </w:rPr>
        <w:t>1%</w:t>
      </w:r>
      <w:r>
        <w:rPr>
          <w:rFonts w:hint="eastAsia" w:cs="Times New Roman"/>
        </w:rPr>
        <w:t>，频率采集误差≤±</w:t>
      </w:r>
      <w:r>
        <w:rPr>
          <w:rFonts w:cs="Times New Roman"/>
        </w:rPr>
        <w:t>0.01Hz</w:t>
      </w:r>
      <w:r>
        <w:rPr>
          <w:rFonts w:hint="eastAsia" w:cs="Times New Roman"/>
        </w:rPr>
        <w:t>；</w:t>
      </w:r>
    </w:p>
    <w:p w14:paraId="702152BC">
      <w:pPr>
        <w:pStyle w:val="44"/>
        <w:spacing w:before="156" w:after="156"/>
        <w:ind w:firstLine="420"/>
        <w:rPr>
          <w:rFonts w:cs="Times New Roman"/>
        </w:rPr>
      </w:pPr>
      <w:r>
        <w:rPr>
          <w:rFonts w:hint="eastAsia" w:cs="Times New Roman"/>
        </w:rPr>
        <w:t>——历史数据存储时间≥</w:t>
      </w:r>
      <w:r>
        <w:rPr>
          <w:rFonts w:cs="Times New Roman"/>
        </w:rPr>
        <w:t>2</w:t>
      </w:r>
      <w:r>
        <w:rPr>
          <w:rFonts w:hint="eastAsia" w:cs="Times New Roman"/>
        </w:rPr>
        <w:t>个月，核心风险数据存储时间≥</w:t>
      </w:r>
      <w:r>
        <w:rPr>
          <w:rFonts w:cs="Times New Roman"/>
        </w:rPr>
        <w:t>1</w:t>
      </w:r>
      <w:r>
        <w:rPr>
          <w:rFonts w:hint="eastAsia" w:cs="Times New Roman"/>
        </w:rPr>
        <w:t>年。</w:t>
      </w:r>
    </w:p>
    <w:p w14:paraId="235E3A29">
      <w:pPr>
        <w:pStyle w:val="44"/>
        <w:spacing w:before="156" w:after="156"/>
        <w:ind w:firstLine="420"/>
        <w:rPr>
          <w:rFonts w:cs="Times New Roman"/>
        </w:rPr>
      </w:pPr>
      <w:r>
        <w:rPr>
          <w:rFonts w:hint="eastAsia" w:cs="Times New Roman"/>
        </w:rPr>
        <w:t>监控预警系统报警性能应满足以下要求：</w:t>
      </w:r>
    </w:p>
    <w:p w14:paraId="7CB6F5FA">
      <w:pPr>
        <w:pStyle w:val="44"/>
        <w:spacing w:before="156" w:after="156"/>
        <w:ind w:firstLine="420"/>
        <w:rPr>
          <w:rFonts w:cs="Times New Roman"/>
        </w:rPr>
      </w:pPr>
      <w:r>
        <w:rPr>
          <w:rFonts w:hint="eastAsia" w:cs="Times New Roman"/>
        </w:rPr>
        <w:t>——监控预警系统监测到轻度风险发生到实施声光电预警措施时间≤</w:t>
      </w:r>
      <w:r>
        <w:rPr>
          <w:rFonts w:cs="Times New Roman"/>
        </w:rPr>
        <w:t>2s</w:t>
      </w:r>
      <w:r>
        <w:rPr>
          <w:rFonts w:hint="eastAsia" w:cs="Times New Roman"/>
        </w:rPr>
        <w:t>；</w:t>
      </w:r>
    </w:p>
    <w:p w14:paraId="64BFED91">
      <w:pPr>
        <w:pStyle w:val="44"/>
        <w:spacing w:before="156" w:after="156"/>
        <w:ind w:firstLine="420"/>
        <w:rPr>
          <w:rFonts w:cs="Times New Roman"/>
        </w:rPr>
      </w:pPr>
      <w:r>
        <w:rPr>
          <w:rFonts w:hint="eastAsia" w:cs="Times New Roman"/>
        </w:rPr>
        <w:t>——监控预警系统监测到中度风险发生到数据上传云平台结束时间≤</w:t>
      </w:r>
      <w:r>
        <w:rPr>
          <w:rFonts w:cs="Times New Roman"/>
        </w:rPr>
        <w:t>5s</w:t>
      </w:r>
      <w:r>
        <w:rPr>
          <w:rFonts w:hint="eastAsia" w:cs="Times New Roman"/>
        </w:rPr>
        <w:t>；</w:t>
      </w:r>
    </w:p>
    <w:p w14:paraId="223FA124">
      <w:pPr>
        <w:pStyle w:val="44"/>
        <w:spacing w:before="156" w:after="156"/>
        <w:ind w:firstLine="420"/>
        <w:rPr>
          <w:rFonts w:cs="Times New Roman"/>
        </w:rPr>
      </w:pPr>
      <w:r>
        <w:rPr>
          <w:rFonts w:hint="eastAsia" w:cs="Times New Roman"/>
        </w:rPr>
        <w:t>——监控预警系统监测到高度风险发生到发送报警信息到消防部门和应急管理部门时间≤</w:t>
      </w:r>
      <w:r>
        <w:rPr>
          <w:rFonts w:cs="Times New Roman"/>
        </w:rPr>
        <w:t>5s</w:t>
      </w:r>
      <w:r>
        <w:rPr>
          <w:rFonts w:hint="eastAsia" w:cs="Times New Roman"/>
        </w:rPr>
        <w:t>。</w:t>
      </w:r>
    </w:p>
    <w:p w14:paraId="7EAA4D1B">
      <w:pPr>
        <w:pStyle w:val="44"/>
        <w:spacing w:before="156" w:after="156"/>
        <w:ind w:firstLine="420"/>
        <w:rPr>
          <w:rFonts w:cs="Times New Roman"/>
        </w:rPr>
      </w:pPr>
      <w:r>
        <w:rPr>
          <w:rFonts w:hint="eastAsia" w:cs="Times New Roman"/>
        </w:rPr>
        <w:t>监控预警系统控制命令发出到执行设备开始执行时间≤</w:t>
      </w:r>
      <w:r>
        <w:rPr>
          <w:rFonts w:cs="Times New Roman"/>
        </w:rPr>
        <w:t>2s</w:t>
      </w:r>
      <w:r>
        <w:rPr>
          <w:rFonts w:hint="eastAsia" w:cs="Times New Roman"/>
        </w:rPr>
        <w:t>。</w:t>
      </w:r>
    </w:p>
    <w:p w14:paraId="1C94D243">
      <w:pPr>
        <w:pStyle w:val="44"/>
        <w:spacing w:before="156" w:after="156"/>
        <w:ind w:firstLine="420"/>
        <w:rPr>
          <w:rFonts w:cs="Times New Roman"/>
        </w:rPr>
      </w:pPr>
      <w:r>
        <w:rPr>
          <w:rFonts w:hint="eastAsia" w:cs="Times New Roman"/>
        </w:rPr>
        <w:t>监控预警系统事件顺序记录和事故追忆性能应满足以下要求：</w:t>
      </w:r>
    </w:p>
    <w:p w14:paraId="2CE67753">
      <w:pPr>
        <w:pStyle w:val="44"/>
        <w:spacing w:before="156" w:after="156"/>
        <w:ind w:firstLine="420"/>
        <w:rPr>
          <w:rFonts w:cs="Times New Roman"/>
        </w:rPr>
      </w:pPr>
      <w:r>
        <w:rPr>
          <w:rFonts w:hint="eastAsia" w:cs="Times New Roman"/>
        </w:rPr>
        <w:t>——事件顺序记录分辨率≤</w:t>
      </w:r>
      <w:r>
        <w:rPr>
          <w:rFonts w:cs="Times New Roman"/>
        </w:rPr>
        <w:t>5ms</w:t>
      </w:r>
      <w:r>
        <w:rPr>
          <w:rFonts w:hint="eastAsia" w:cs="Times New Roman"/>
        </w:rPr>
        <w:t>；</w:t>
      </w:r>
    </w:p>
    <w:p w14:paraId="21B0B438">
      <w:pPr>
        <w:pStyle w:val="44"/>
        <w:spacing w:before="156" w:after="156"/>
        <w:ind w:firstLine="420"/>
        <w:rPr>
          <w:rFonts w:cs="Times New Roman"/>
        </w:rPr>
      </w:pPr>
      <w:r>
        <w:rPr>
          <w:rFonts w:hint="eastAsia" w:cs="Times New Roman"/>
        </w:rPr>
        <w:t>——回溯时间长度不少于事故前</w:t>
      </w:r>
      <w:r>
        <w:rPr>
          <w:rFonts w:cs="Times New Roman"/>
        </w:rPr>
        <w:t>120s</w:t>
      </w:r>
      <w:r>
        <w:rPr>
          <w:rFonts w:hint="eastAsia" w:cs="Times New Roman"/>
        </w:rPr>
        <w:t>，事故后</w:t>
      </w:r>
      <w:r>
        <w:rPr>
          <w:rFonts w:cs="Times New Roman"/>
        </w:rPr>
        <w:t>120s</w:t>
      </w:r>
      <w:r>
        <w:rPr>
          <w:rFonts w:hint="eastAsia" w:cs="Times New Roman"/>
        </w:rPr>
        <w:t>；</w:t>
      </w:r>
    </w:p>
    <w:p w14:paraId="6891C06F">
      <w:pPr>
        <w:pStyle w:val="44"/>
        <w:spacing w:before="156" w:after="156"/>
        <w:ind w:firstLine="420"/>
        <w:rPr>
          <w:rFonts w:cs="Times New Roman"/>
        </w:rPr>
      </w:pPr>
      <w:r>
        <w:rPr>
          <w:rFonts w:hint="eastAsia" w:cs="Times New Roman"/>
        </w:rPr>
        <w:t>——数据记录分辨率≤</w:t>
      </w:r>
      <w:r>
        <w:rPr>
          <w:rFonts w:cs="Times New Roman"/>
        </w:rPr>
        <w:t>2ms</w:t>
      </w:r>
      <w:r>
        <w:rPr>
          <w:rFonts w:hint="eastAsia" w:cs="Times New Roman"/>
        </w:rPr>
        <w:t>。</w:t>
      </w:r>
    </w:p>
    <w:p w14:paraId="1AF9D15D">
      <w:pPr>
        <w:pStyle w:val="44"/>
        <w:spacing w:before="156" w:after="156"/>
        <w:ind w:firstLine="420"/>
        <w:rPr>
          <w:rFonts w:cs="Times New Roman"/>
        </w:rPr>
      </w:pPr>
      <w:r>
        <w:rPr>
          <w:rFonts w:hint="eastAsia" w:cs="Times New Roman"/>
        </w:rPr>
        <w:t>监控预警系统人机交互性能应满足以下要求：</w:t>
      </w:r>
    </w:p>
    <w:p w14:paraId="3C9FF21C">
      <w:pPr>
        <w:pStyle w:val="44"/>
        <w:spacing w:before="156" w:after="156"/>
        <w:ind w:firstLine="420"/>
        <w:rPr>
          <w:rFonts w:cs="Times New Roman"/>
        </w:rPr>
      </w:pPr>
      <w:r>
        <w:rPr>
          <w:rFonts w:hint="eastAsia" w:cs="Times New Roman"/>
        </w:rPr>
        <w:t>——人机交互画面刷新响应时间≤</w:t>
      </w:r>
      <w:r>
        <w:rPr>
          <w:rFonts w:cs="Times New Roman"/>
        </w:rPr>
        <w:t>1s</w:t>
      </w:r>
      <w:r>
        <w:rPr>
          <w:rFonts w:hint="eastAsia" w:cs="Times New Roman"/>
        </w:rPr>
        <w:t>；</w:t>
      </w:r>
    </w:p>
    <w:p w14:paraId="58616E49">
      <w:pPr>
        <w:pStyle w:val="44"/>
        <w:spacing w:before="156" w:after="156"/>
        <w:ind w:firstLine="420"/>
        <w:rPr>
          <w:rFonts w:cs="Times New Roman"/>
        </w:rPr>
      </w:pPr>
      <w:r>
        <w:rPr>
          <w:rFonts w:hint="eastAsia" w:cs="Times New Roman"/>
        </w:rPr>
        <w:t>——数字信号画面更新周期≤</w:t>
      </w:r>
      <w:r>
        <w:rPr>
          <w:rFonts w:cs="Times New Roman"/>
        </w:rPr>
        <w:t>2s</w:t>
      </w:r>
      <w:r>
        <w:rPr>
          <w:rFonts w:hint="eastAsia" w:cs="Times New Roman"/>
        </w:rPr>
        <w:t>；</w:t>
      </w:r>
    </w:p>
    <w:p w14:paraId="2C8FFF7B">
      <w:pPr>
        <w:pStyle w:val="44"/>
        <w:spacing w:before="156" w:after="156"/>
        <w:ind w:firstLine="420"/>
        <w:rPr>
          <w:rFonts w:cs="Times New Roman"/>
        </w:rPr>
      </w:pPr>
      <w:r>
        <w:rPr>
          <w:rFonts w:hint="eastAsia" w:cs="Times New Roman"/>
        </w:rPr>
        <w:t>——模拟信号画面更新周期≤</w:t>
      </w:r>
      <w:r>
        <w:rPr>
          <w:rFonts w:cs="Times New Roman"/>
        </w:rPr>
        <w:t>3s</w:t>
      </w:r>
      <w:r>
        <w:rPr>
          <w:rFonts w:hint="eastAsia" w:cs="Times New Roman"/>
        </w:rPr>
        <w:t>。</w:t>
      </w:r>
    </w:p>
    <w:p w14:paraId="2F4129F7">
      <w:pPr>
        <w:pStyle w:val="44"/>
        <w:spacing w:before="156" w:after="156"/>
        <w:ind w:firstLine="420"/>
        <w:rPr>
          <w:rFonts w:cs="Times New Roman"/>
        </w:rPr>
      </w:pPr>
      <w:r>
        <w:rPr>
          <w:rFonts w:hint="eastAsia" w:cs="Times New Roman"/>
        </w:rPr>
        <w:t>监控预警系统负载性能应满足以下要求：</w:t>
      </w:r>
    </w:p>
    <w:p w14:paraId="01B04E58">
      <w:pPr>
        <w:pStyle w:val="44"/>
        <w:spacing w:before="156" w:after="156"/>
        <w:ind w:firstLine="420"/>
        <w:rPr>
          <w:rFonts w:cs="Times New Roman"/>
        </w:rPr>
      </w:pPr>
      <w:r>
        <w:rPr>
          <w:rFonts w:hint="eastAsia" w:cs="Times New Roman"/>
        </w:rPr>
        <w:t>——正常状态下</w:t>
      </w:r>
      <w:r>
        <w:rPr>
          <w:rFonts w:cs="Times New Roman"/>
        </w:rPr>
        <w:t>CPU</w:t>
      </w:r>
      <w:r>
        <w:rPr>
          <w:rFonts w:hint="eastAsia" w:cs="Times New Roman"/>
        </w:rPr>
        <w:t>负载任意</w:t>
      </w:r>
      <w:r>
        <w:rPr>
          <w:rFonts w:cs="Times New Roman"/>
        </w:rPr>
        <w:t>10min</w:t>
      </w:r>
      <w:r>
        <w:rPr>
          <w:rFonts w:hint="eastAsia" w:cs="Times New Roman"/>
        </w:rPr>
        <w:t>内≤</w:t>
      </w:r>
      <w:r>
        <w:rPr>
          <w:rFonts w:cs="Times New Roman"/>
        </w:rPr>
        <w:t>40%</w:t>
      </w:r>
      <w:r>
        <w:rPr>
          <w:rFonts w:hint="eastAsia" w:cs="Times New Roman"/>
        </w:rPr>
        <w:t>，网络负载≤</w:t>
      </w:r>
      <w:r>
        <w:rPr>
          <w:rFonts w:cs="Times New Roman"/>
        </w:rPr>
        <w:t>40%</w:t>
      </w:r>
      <w:r>
        <w:rPr>
          <w:rFonts w:hint="eastAsia" w:cs="Times New Roman"/>
        </w:rPr>
        <w:t>；</w:t>
      </w:r>
    </w:p>
    <w:p w14:paraId="54262C30">
      <w:pPr>
        <w:pStyle w:val="44"/>
        <w:spacing w:before="156" w:after="156"/>
        <w:ind w:firstLine="420"/>
        <w:rPr>
          <w:rFonts w:cs="Times New Roman"/>
        </w:rPr>
      </w:pPr>
      <w:r>
        <w:rPr>
          <w:rFonts w:hint="eastAsia" w:cs="Times New Roman"/>
        </w:rPr>
        <w:t>——负载状态下</w:t>
      </w:r>
      <w:r>
        <w:rPr>
          <w:rFonts w:cs="Times New Roman"/>
        </w:rPr>
        <w:t>CPU</w:t>
      </w:r>
      <w:r>
        <w:rPr>
          <w:rFonts w:hint="eastAsia" w:cs="Times New Roman"/>
        </w:rPr>
        <w:t>负载任意</w:t>
      </w:r>
      <w:r>
        <w:rPr>
          <w:rFonts w:cs="Times New Roman"/>
        </w:rPr>
        <w:t>10min</w:t>
      </w:r>
      <w:r>
        <w:rPr>
          <w:rFonts w:hint="eastAsia" w:cs="Times New Roman"/>
        </w:rPr>
        <w:t>内≤</w:t>
      </w:r>
      <w:r>
        <w:rPr>
          <w:rFonts w:cs="Times New Roman"/>
        </w:rPr>
        <w:t>80%</w:t>
      </w:r>
      <w:r>
        <w:rPr>
          <w:rFonts w:hint="eastAsia" w:cs="Times New Roman"/>
        </w:rPr>
        <w:t>，网络负载≤</w:t>
      </w:r>
      <w:r>
        <w:rPr>
          <w:rFonts w:cs="Times New Roman"/>
        </w:rPr>
        <w:t>60%</w:t>
      </w:r>
      <w:r>
        <w:rPr>
          <w:rFonts w:hint="eastAsia" w:cs="Times New Roman"/>
        </w:rPr>
        <w:t>。</w:t>
      </w:r>
    </w:p>
    <w:p w14:paraId="3562ED4A">
      <w:pPr>
        <w:pStyle w:val="44"/>
        <w:spacing w:before="156" w:after="156"/>
        <w:ind w:firstLine="420"/>
        <w:rPr>
          <w:rFonts w:cs="Times New Roman"/>
        </w:rPr>
      </w:pPr>
      <w:r>
        <w:rPr>
          <w:rFonts w:hint="eastAsia" w:cs="Times New Roman"/>
        </w:rPr>
        <w:t>备用电源</w:t>
      </w:r>
      <w:r>
        <w:rPr>
          <w:rFonts w:cs="Times New Roman"/>
        </w:rPr>
        <w:t>/</w:t>
      </w:r>
      <w:r>
        <w:rPr>
          <w:rFonts w:hint="eastAsia" w:cs="Times New Roman"/>
        </w:rPr>
        <w:t>备用系统切换时间≤</w:t>
      </w:r>
      <w:r>
        <w:rPr>
          <w:rFonts w:cs="Times New Roman"/>
        </w:rPr>
        <w:t>3s</w:t>
      </w:r>
      <w:r>
        <w:rPr>
          <w:rFonts w:hint="eastAsia" w:cs="Times New Roman"/>
        </w:rPr>
        <w:t>。</w:t>
      </w:r>
    </w:p>
    <w:p w14:paraId="60FA148E">
      <w:pPr>
        <w:pStyle w:val="44"/>
        <w:spacing w:before="156" w:after="156"/>
        <w:ind w:firstLine="420"/>
        <w:rPr>
          <w:rFonts w:cs="Times New Roman"/>
        </w:rPr>
      </w:pPr>
      <w:r>
        <w:rPr>
          <w:rFonts w:hint="eastAsia" w:cs="Times New Roman"/>
        </w:rPr>
        <w:t>监控预警系统可用性能应满足以下要求：</w:t>
      </w:r>
    </w:p>
    <w:p w14:paraId="4C4878FB">
      <w:pPr>
        <w:pStyle w:val="44"/>
        <w:spacing w:before="156" w:after="156"/>
        <w:ind w:firstLine="420"/>
        <w:rPr>
          <w:rFonts w:cs="Times New Roman"/>
        </w:rPr>
      </w:pPr>
      <w:r>
        <w:rPr>
          <w:rFonts w:hint="eastAsia" w:cs="Times New Roman"/>
        </w:rPr>
        <w:t>——系统年可用率≥</w:t>
      </w:r>
      <w:r>
        <w:rPr>
          <w:rFonts w:cs="Times New Roman"/>
        </w:rPr>
        <w:t>99.95%</w:t>
      </w:r>
      <w:r>
        <w:rPr>
          <w:rFonts w:hint="eastAsia" w:cs="Times New Roman"/>
        </w:rPr>
        <w:t>；</w:t>
      </w:r>
    </w:p>
    <w:p w14:paraId="66F1C927">
      <w:pPr>
        <w:pStyle w:val="44"/>
        <w:spacing w:before="156" w:after="156"/>
        <w:ind w:firstLine="420"/>
        <w:rPr>
          <w:rFonts w:cs="Times New Roman"/>
        </w:rPr>
      </w:pPr>
      <w:r>
        <w:rPr>
          <w:rFonts w:hint="eastAsia" w:cs="Times New Roman"/>
        </w:rPr>
        <w:t>——设备平均无故障时间应≥</w:t>
      </w:r>
      <w:r>
        <w:rPr>
          <w:rFonts w:cs="Times New Roman"/>
        </w:rPr>
        <w:t>30000h</w:t>
      </w:r>
      <w:r>
        <w:rPr>
          <w:rFonts w:hint="eastAsia" w:cs="Times New Roman"/>
        </w:rPr>
        <w:t>。</w:t>
      </w:r>
    </w:p>
    <w:p w14:paraId="557073E0">
      <w:pPr>
        <w:pStyle w:val="44"/>
        <w:spacing w:before="156" w:after="156"/>
        <w:ind w:firstLine="420"/>
        <w:rPr>
          <w:rFonts w:cs="Times New Roman"/>
        </w:rPr>
      </w:pPr>
      <w:r>
        <w:rPr>
          <w:rFonts w:hint="eastAsia" w:cs="Times New Roman"/>
        </w:rPr>
        <w:t>监控预警系统应具备风险发展的推演能力：</w:t>
      </w:r>
    </w:p>
    <w:p w14:paraId="0C30CBC7">
      <w:pPr>
        <w:pStyle w:val="44"/>
        <w:spacing w:before="156" w:after="156"/>
        <w:ind w:firstLine="420"/>
        <w:rPr>
          <w:rFonts w:cs="Times New Roman"/>
        </w:rPr>
      </w:pPr>
      <w:r>
        <w:rPr>
          <w:rFonts w:hint="eastAsia" w:cs="Times New Roman"/>
        </w:rPr>
        <w:t>——应能够根据监控数据与早期风险特征，在</w:t>
      </w:r>
      <w:r>
        <w:rPr>
          <w:rFonts w:cs="Times New Roman"/>
        </w:rPr>
        <w:t>10s</w:t>
      </w:r>
      <w:r>
        <w:rPr>
          <w:rFonts w:hint="eastAsia" w:cs="Times New Roman"/>
        </w:rPr>
        <w:t>内模拟风险潜在后果；</w:t>
      </w:r>
    </w:p>
    <w:p w14:paraId="4A861DBE">
      <w:pPr>
        <w:pStyle w:val="44"/>
        <w:spacing w:before="156" w:after="156"/>
        <w:ind w:firstLine="420"/>
        <w:rPr>
          <w:rFonts w:cs="Times New Roman"/>
        </w:rPr>
      </w:pPr>
      <w:r>
        <w:rPr>
          <w:rFonts w:hint="eastAsia" w:cs="Times New Roman"/>
        </w:rPr>
        <w:t>——应建立存储有相应储能设备装备的常用操作人数、技术重要性、投资价格、修复难度等数据的数据库，并能在模拟结果中量化综合损失。</w:t>
      </w:r>
    </w:p>
    <w:p w14:paraId="776E3BB4">
      <w:pPr>
        <w:pStyle w:val="41"/>
        <w:numPr>
          <w:ilvl w:val="0"/>
          <w:numId w:val="0"/>
        </w:numPr>
        <w:rPr>
          <w:rFonts w:cs="Times New Roman"/>
          <w:b w:val="0"/>
          <w:bCs w:val="0"/>
        </w:rPr>
      </w:pPr>
      <w:bookmarkStart w:id="30" w:name="_Toc130762920"/>
      <w:r>
        <w:rPr>
          <w:rFonts w:cs="Times New Roman"/>
          <w:b w:val="0"/>
          <w:bCs w:val="0"/>
        </w:rPr>
        <w:t xml:space="preserve">7 </w:t>
      </w:r>
      <w:r>
        <w:rPr>
          <w:rFonts w:hint="eastAsia" w:cs="Times New Roman"/>
          <w:b w:val="0"/>
          <w:bCs w:val="0"/>
        </w:rPr>
        <w:t>风险预警等级</w:t>
      </w:r>
      <w:bookmarkEnd w:id="30"/>
    </w:p>
    <w:p w14:paraId="02297A5E">
      <w:pPr>
        <w:pStyle w:val="57"/>
        <w:numPr>
          <w:ilvl w:val="0"/>
          <w:numId w:val="0"/>
        </w:numPr>
        <w:rPr>
          <w:rFonts w:cs="Times New Roman"/>
          <w:b w:val="0"/>
          <w:bCs w:val="0"/>
        </w:rPr>
      </w:pPr>
      <w:bookmarkStart w:id="31" w:name="_Toc130762921"/>
      <w:r>
        <w:rPr>
          <w:rFonts w:cs="Times New Roman"/>
          <w:b w:val="0"/>
          <w:bCs w:val="0"/>
        </w:rPr>
        <w:t xml:space="preserve">7.1 </w:t>
      </w:r>
      <w:r>
        <w:rPr>
          <w:rFonts w:hint="eastAsia" w:cs="Times New Roman"/>
          <w:b w:val="0"/>
          <w:bCs w:val="0"/>
        </w:rPr>
        <w:t>风险指数确定</w:t>
      </w:r>
      <w:bookmarkEnd w:id="31"/>
    </w:p>
    <w:p w14:paraId="791FD4EE">
      <w:pPr>
        <w:pStyle w:val="44"/>
        <w:spacing w:before="156" w:after="156"/>
        <w:ind w:firstLine="420"/>
        <w:rPr>
          <w:rFonts w:cs="Times New Roman"/>
        </w:rPr>
      </w:pPr>
      <w:r>
        <w:rPr>
          <w:rFonts w:hint="eastAsia" w:cs="Times New Roman"/>
        </w:rPr>
        <w:t>按照</w:t>
      </w:r>
      <w:r>
        <w:rPr>
          <w:rFonts w:cs="Times New Roman"/>
        </w:rPr>
        <w:t>GB/T 40437-2021</w:t>
      </w:r>
      <w:r>
        <w:rPr>
          <w:rFonts w:hint="eastAsia" w:cs="Times New Roman"/>
        </w:rPr>
        <w:t>、</w:t>
      </w:r>
      <w:r>
        <w:rPr>
          <w:rFonts w:cs="Times New Roman"/>
        </w:rPr>
        <w:t>GB/T 34294-2017</w:t>
      </w:r>
      <w:r>
        <w:rPr>
          <w:rFonts w:hint="eastAsia" w:cs="Times New Roman"/>
        </w:rPr>
        <w:t>中的风险指数确定方法，根据以下优先级原则，确定预警等级。</w:t>
      </w:r>
    </w:p>
    <w:p w14:paraId="1ED37C75">
      <w:pPr>
        <w:pStyle w:val="44"/>
        <w:spacing w:before="156" w:after="156"/>
        <w:ind w:firstLine="420"/>
        <w:rPr>
          <w:rFonts w:cs="Times New Roman"/>
        </w:rPr>
      </w:pPr>
      <w:r>
        <w:rPr>
          <w:rFonts w:hint="eastAsia" w:cs="Times New Roman"/>
        </w:rPr>
        <w:t>分析风险指数影响因素</w:t>
      </w:r>
      <w:r>
        <w:rPr>
          <w:rFonts w:cs="Times New Roman"/>
        </w:rPr>
        <w:t>，</w:t>
      </w:r>
      <w:r>
        <w:rPr>
          <w:rFonts w:hint="eastAsia" w:cs="Times New Roman"/>
        </w:rPr>
        <w:t>包括</w:t>
      </w:r>
      <w:r>
        <w:rPr>
          <w:rFonts w:cs="Times New Roman"/>
        </w:rPr>
        <w:t>：</w:t>
      </w:r>
    </w:p>
    <w:p w14:paraId="4F291E0F">
      <w:pPr>
        <w:pStyle w:val="44"/>
        <w:spacing w:before="156" w:after="156"/>
        <w:ind w:firstLine="420"/>
        <w:rPr>
          <w:rFonts w:cs="Times New Roman"/>
        </w:rPr>
      </w:pPr>
      <w:r>
        <w:rPr>
          <w:rFonts w:cs="Times New Roman"/>
        </w:rPr>
        <w:t>a）</w:t>
      </w:r>
      <w:r>
        <w:rPr>
          <w:rFonts w:hint="eastAsia" w:cs="Times New Roman"/>
        </w:rPr>
        <w:t>伤害的程度</w:t>
      </w:r>
      <w:r>
        <w:rPr>
          <w:rFonts w:cs="Times New Roman"/>
        </w:rPr>
        <w:t>（</w:t>
      </w:r>
      <w:r>
        <w:rPr>
          <w:rFonts w:hint="eastAsia" w:cs="Times New Roman"/>
        </w:rPr>
        <w:t>用</w:t>
      </w:r>
      <w:r>
        <w:rPr>
          <w:rFonts w:cs="Times New Roman"/>
        </w:rPr>
        <w:t>S</w:t>
      </w:r>
      <w:r>
        <w:rPr>
          <w:rFonts w:hint="eastAsia" w:cs="Times New Roman"/>
        </w:rPr>
        <w:t>表示</w:t>
      </w:r>
      <w:r>
        <w:rPr>
          <w:rFonts w:cs="Times New Roman"/>
        </w:rPr>
        <w:t>）</w:t>
      </w:r>
      <w:r>
        <w:rPr>
          <w:rFonts w:hint="eastAsia" w:cs="Times New Roman"/>
        </w:rPr>
        <w:t>，根据6</w:t>
      </w:r>
      <w:r>
        <w:rPr>
          <w:rFonts w:cs="Times New Roman"/>
        </w:rPr>
        <w:t>.2</w:t>
      </w:r>
      <w:r>
        <w:rPr>
          <w:rFonts w:hint="eastAsia" w:cs="Times New Roman"/>
        </w:rPr>
        <w:t>的风险等级辅助判断</w:t>
      </w:r>
      <w:r>
        <w:rPr>
          <w:rFonts w:cs="Times New Roman"/>
        </w:rPr>
        <w:t>：</w:t>
      </w:r>
    </w:p>
    <w:p w14:paraId="3A735CEE">
      <w:pPr>
        <w:pStyle w:val="44"/>
        <w:spacing w:before="156" w:after="156"/>
        <w:ind w:firstLine="420"/>
        <w:rPr>
          <w:rFonts w:cs="Times New Roman"/>
        </w:rPr>
      </w:pPr>
      <w:r>
        <w:rPr>
          <w:rFonts w:cs="Times New Roman"/>
        </w:rPr>
        <w:tab/>
      </w:r>
      <w:r>
        <w:rPr>
          <w:rFonts w:cs="Times New Roman"/>
        </w:rPr>
        <w:t>1）</w:t>
      </w:r>
      <w:r>
        <w:rPr>
          <w:rFonts w:hint="eastAsia" w:cs="Times New Roman"/>
        </w:rPr>
        <w:t>轻微</w:t>
      </w:r>
      <w:r>
        <w:rPr>
          <w:rFonts w:cs="Times New Roman"/>
        </w:rPr>
        <w:t>S</w:t>
      </w:r>
      <w:r>
        <w:rPr>
          <w:rFonts w:cs="Times New Roman"/>
          <w:vertAlign w:val="subscript"/>
        </w:rPr>
        <w:t>1</w:t>
      </w:r>
      <w:r>
        <w:rPr>
          <w:rFonts w:cs="Times New Roman"/>
        </w:rPr>
        <w:t>（</w:t>
      </w:r>
      <w:r>
        <w:rPr>
          <w:rFonts w:hint="eastAsia" w:cs="Times New Roman"/>
        </w:rPr>
        <w:t>正常可逆或短期内可修复</w:t>
      </w:r>
      <w:r>
        <w:rPr>
          <w:rFonts w:cs="Times New Roman"/>
        </w:rPr>
        <w:t>）</w:t>
      </w:r>
      <w:r>
        <w:rPr>
          <w:rFonts w:hint="eastAsia" w:cs="Times New Roman"/>
        </w:rPr>
        <w:t>；</w:t>
      </w:r>
    </w:p>
    <w:p w14:paraId="7A32ECF7">
      <w:pPr>
        <w:pStyle w:val="44"/>
        <w:spacing w:before="156" w:after="156"/>
        <w:ind w:firstLine="420"/>
        <w:rPr>
          <w:rFonts w:cs="Times New Roman"/>
        </w:rPr>
      </w:pPr>
      <w:r>
        <w:rPr>
          <w:rFonts w:cs="Times New Roman"/>
        </w:rPr>
        <w:tab/>
      </w:r>
      <w:r>
        <w:rPr>
          <w:rFonts w:cs="Times New Roman"/>
        </w:rPr>
        <w:t>2）</w:t>
      </w:r>
      <w:r>
        <w:rPr>
          <w:rFonts w:hint="eastAsia" w:cs="Times New Roman"/>
        </w:rPr>
        <w:t>高度</w:t>
      </w:r>
      <w:r>
        <w:rPr>
          <w:rFonts w:cs="Times New Roman"/>
        </w:rPr>
        <w:t>S</w:t>
      </w:r>
      <w:r>
        <w:rPr>
          <w:rFonts w:cs="Times New Roman"/>
          <w:vertAlign w:val="subscript"/>
        </w:rPr>
        <w:t>2</w:t>
      </w:r>
      <w:r>
        <w:rPr>
          <w:rFonts w:cs="Times New Roman"/>
        </w:rPr>
        <w:t>（</w:t>
      </w:r>
      <w:r>
        <w:rPr>
          <w:rFonts w:hint="eastAsia" w:cs="Times New Roman"/>
        </w:rPr>
        <w:t>正常可逆或长期内可修复</w:t>
      </w:r>
      <w:r>
        <w:rPr>
          <w:rFonts w:cs="Times New Roman"/>
        </w:rPr>
        <w:t>）</w:t>
      </w:r>
      <w:r>
        <w:rPr>
          <w:rFonts w:hint="eastAsia" w:cs="Times New Roman"/>
        </w:rPr>
        <w:t>；</w:t>
      </w:r>
    </w:p>
    <w:p w14:paraId="2CE00821">
      <w:pPr>
        <w:pStyle w:val="44"/>
        <w:spacing w:before="156" w:after="156"/>
        <w:ind w:firstLine="420"/>
        <w:rPr>
          <w:rFonts w:cs="Times New Roman"/>
        </w:rPr>
      </w:pPr>
      <w:r>
        <w:rPr>
          <w:rFonts w:cs="Times New Roman"/>
        </w:rPr>
        <w:tab/>
      </w:r>
      <w:r>
        <w:rPr>
          <w:rFonts w:cs="Times New Roman"/>
        </w:rPr>
        <w:t>3）</w:t>
      </w:r>
      <w:r>
        <w:rPr>
          <w:rFonts w:hint="eastAsia" w:cs="Times New Roman"/>
        </w:rPr>
        <w:t>严重</w:t>
      </w:r>
      <w:r>
        <w:rPr>
          <w:rFonts w:cs="Times New Roman"/>
        </w:rPr>
        <w:t>S</w:t>
      </w:r>
      <w:r>
        <w:rPr>
          <w:rFonts w:cs="Times New Roman"/>
          <w:vertAlign w:val="subscript"/>
        </w:rPr>
        <w:t>3</w:t>
      </w:r>
      <w:r>
        <w:rPr>
          <w:rFonts w:cs="Times New Roman"/>
        </w:rPr>
        <w:t>（</w:t>
      </w:r>
      <w:r>
        <w:rPr>
          <w:rFonts w:hint="eastAsia" w:cs="Times New Roman"/>
        </w:rPr>
        <w:t>正常不可逆、不可修复或死亡</w:t>
      </w:r>
      <w:r>
        <w:rPr>
          <w:rFonts w:cs="Times New Roman"/>
        </w:rPr>
        <w:t>）</w:t>
      </w:r>
      <w:r>
        <w:rPr>
          <w:rFonts w:hint="eastAsia" w:cs="Times New Roman"/>
        </w:rPr>
        <w:t>。</w:t>
      </w:r>
    </w:p>
    <w:p w14:paraId="56D68E05">
      <w:pPr>
        <w:pStyle w:val="44"/>
        <w:spacing w:before="156" w:after="156"/>
        <w:ind w:firstLine="420"/>
        <w:rPr>
          <w:rFonts w:cs="Times New Roman"/>
        </w:rPr>
      </w:pPr>
      <w:r>
        <w:rPr>
          <w:rFonts w:cs="Times New Roman"/>
        </w:rPr>
        <w:t>b）</w:t>
      </w:r>
      <w:r>
        <w:rPr>
          <w:rFonts w:hint="eastAsia" w:cs="Times New Roman"/>
        </w:rPr>
        <w:t>伤害的广度</w:t>
      </w:r>
      <w:r>
        <w:rPr>
          <w:rFonts w:cs="Times New Roman"/>
        </w:rPr>
        <w:t>（</w:t>
      </w:r>
      <w:r>
        <w:rPr>
          <w:rFonts w:hint="eastAsia" w:cs="Times New Roman"/>
        </w:rPr>
        <w:t>用</w:t>
      </w:r>
      <w:r>
        <w:rPr>
          <w:rFonts w:cs="Times New Roman"/>
        </w:rPr>
        <w:t>F</w:t>
      </w:r>
      <w:r>
        <w:rPr>
          <w:rFonts w:hint="eastAsia" w:cs="Times New Roman"/>
        </w:rPr>
        <w:t>表示</w:t>
      </w:r>
      <w:r>
        <w:rPr>
          <w:rFonts w:cs="Times New Roman"/>
        </w:rPr>
        <w:t>）：</w:t>
      </w:r>
    </w:p>
    <w:p w14:paraId="27D776A5">
      <w:pPr>
        <w:pStyle w:val="44"/>
        <w:spacing w:before="156" w:after="156"/>
        <w:ind w:firstLine="420"/>
        <w:rPr>
          <w:rFonts w:cs="Times New Roman"/>
        </w:rPr>
      </w:pPr>
      <w:r>
        <w:rPr>
          <w:rFonts w:cs="Times New Roman"/>
        </w:rPr>
        <w:tab/>
      </w:r>
      <w:r>
        <w:rPr>
          <w:rFonts w:cs="Times New Roman"/>
        </w:rPr>
        <w:t>1）</w:t>
      </w:r>
      <w:r>
        <w:rPr>
          <w:rFonts w:hint="eastAsia" w:cs="Times New Roman"/>
        </w:rPr>
        <w:t>极少暴露、短时间暴露：</w:t>
      </w:r>
      <w:r>
        <w:rPr>
          <w:rFonts w:cs="Times New Roman"/>
        </w:rPr>
        <w:t>F</w:t>
      </w:r>
      <w:r>
        <w:rPr>
          <w:rFonts w:cs="Times New Roman"/>
          <w:vertAlign w:val="subscript"/>
        </w:rPr>
        <w:t>1</w:t>
      </w:r>
      <w:r>
        <w:rPr>
          <w:rFonts w:hint="eastAsia" w:cs="Times New Roman"/>
        </w:rPr>
        <w:t>；</w:t>
      </w:r>
    </w:p>
    <w:p w14:paraId="4BC43066">
      <w:pPr>
        <w:pStyle w:val="44"/>
        <w:spacing w:before="156" w:after="156"/>
        <w:ind w:firstLine="420"/>
        <w:rPr>
          <w:rFonts w:cs="Times New Roman"/>
        </w:rPr>
      </w:pPr>
      <w:r>
        <w:rPr>
          <w:rFonts w:cs="Times New Roman"/>
        </w:rPr>
        <w:tab/>
      </w:r>
      <w:r>
        <w:rPr>
          <w:rFonts w:cs="Times New Roman"/>
        </w:rPr>
        <w:t>2）</w:t>
      </w:r>
      <w:r>
        <w:rPr>
          <w:rFonts w:hint="eastAsia" w:cs="Times New Roman"/>
        </w:rPr>
        <w:t>有时暴露、中等时长暴露</w:t>
      </w:r>
      <w:r>
        <w:rPr>
          <w:rFonts w:cs="Times New Roman"/>
        </w:rPr>
        <w:t>F</w:t>
      </w:r>
      <w:r>
        <w:rPr>
          <w:rFonts w:cs="Times New Roman"/>
          <w:vertAlign w:val="subscript"/>
        </w:rPr>
        <w:t>2</w:t>
      </w:r>
      <w:r>
        <w:rPr>
          <w:rFonts w:hint="eastAsia" w:cs="Times New Roman"/>
        </w:rPr>
        <w:t>；</w:t>
      </w:r>
    </w:p>
    <w:p w14:paraId="6B9DE652">
      <w:pPr>
        <w:pStyle w:val="44"/>
        <w:spacing w:before="156" w:after="156"/>
        <w:ind w:firstLine="420"/>
        <w:rPr>
          <w:rFonts w:cs="Times New Roman"/>
        </w:rPr>
      </w:pPr>
      <w:r>
        <w:rPr>
          <w:rFonts w:cs="Times New Roman"/>
        </w:rPr>
        <w:tab/>
      </w:r>
      <w:r>
        <w:rPr>
          <w:rFonts w:cs="Times New Roman"/>
        </w:rPr>
        <w:t>3）</w:t>
      </w:r>
      <w:r>
        <w:rPr>
          <w:rFonts w:hint="eastAsia" w:cs="Times New Roman"/>
        </w:rPr>
        <w:t>频繁暴露、长时间暴露</w:t>
      </w:r>
      <w:r>
        <w:rPr>
          <w:rFonts w:cs="Times New Roman"/>
        </w:rPr>
        <w:t>F</w:t>
      </w:r>
      <w:r>
        <w:rPr>
          <w:rFonts w:cs="Times New Roman"/>
          <w:vertAlign w:val="subscript"/>
        </w:rPr>
        <w:t>3</w:t>
      </w:r>
      <w:r>
        <w:rPr>
          <w:rFonts w:hint="eastAsia" w:cs="Times New Roman"/>
        </w:rPr>
        <w:t>；</w:t>
      </w:r>
    </w:p>
    <w:p w14:paraId="01F69CA8">
      <w:pPr>
        <w:pStyle w:val="44"/>
        <w:spacing w:before="156" w:after="156"/>
        <w:ind w:firstLine="420"/>
        <w:rPr>
          <w:rFonts w:cs="Times New Roman"/>
        </w:rPr>
      </w:pPr>
      <w:r>
        <w:rPr>
          <w:rFonts w:cs="Times New Roman"/>
        </w:rPr>
        <w:t>c）</w:t>
      </w:r>
      <w:r>
        <w:rPr>
          <w:rFonts w:hint="eastAsia" w:cs="Times New Roman"/>
        </w:rPr>
        <w:t>避免或限制伤害的可能性</w:t>
      </w:r>
      <w:r>
        <w:rPr>
          <w:rFonts w:cs="Times New Roman"/>
        </w:rPr>
        <w:t>（</w:t>
      </w:r>
      <w:r>
        <w:rPr>
          <w:rFonts w:hint="eastAsia" w:cs="Times New Roman"/>
        </w:rPr>
        <w:t>用Р表示</w:t>
      </w:r>
      <w:r>
        <w:rPr>
          <w:rFonts w:cs="Times New Roman"/>
        </w:rPr>
        <w:t>）：</w:t>
      </w:r>
    </w:p>
    <w:p w14:paraId="276C7668">
      <w:pPr>
        <w:pStyle w:val="44"/>
        <w:spacing w:before="156" w:after="156"/>
        <w:ind w:firstLine="420"/>
        <w:rPr>
          <w:rFonts w:cs="Times New Roman"/>
        </w:rPr>
      </w:pPr>
      <w:r>
        <w:rPr>
          <w:rFonts w:cs="Times New Roman"/>
        </w:rPr>
        <w:tab/>
      </w:r>
      <w:r>
        <w:rPr>
          <w:rFonts w:cs="Times New Roman"/>
        </w:rPr>
        <w:t>1）</w:t>
      </w:r>
      <w:r>
        <w:rPr>
          <w:rFonts w:hint="eastAsia" w:cs="Times New Roman"/>
        </w:rPr>
        <w:t>可能避免</w:t>
      </w:r>
      <w:r>
        <w:rPr>
          <w:rFonts w:cs="Times New Roman"/>
        </w:rPr>
        <w:t>P</w:t>
      </w:r>
      <w:r>
        <w:rPr>
          <w:rFonts w:cs="Times New Roman"/>
          <w:vertAlign w:val="subscript"/>
        </w:rPr>
        <w:t>1</w:t>
      </w:r>
      <w:r>
        <w:rPr>
          <w:rFonts w:hint="eastAsia" w:cs="Times New Roman"/>
        </w:rPr>
        <w:t>；</w:t>
      </w:r>
    </w:p>
    <w:p w14:paraId="3D1B4D77">
      <w:pPr>
        <w:pStyle w:val="44"/>
        <w:spacing w:before="156" w:after="156"/>
        <w:ind w:firstLine="420"/>
        <w:rPr>
          <w:rFonts w:cs="Times New Roman"/>
        </w:rPr>
      </w:pPr>
      <w:r>
        <w:rPr>
          <w:rFonts w:cs="Times New Roman"/>
        </w:rPr>
        <w:tab/>
      </w:r>
      <w:r>
        <w:rPr>
          <w:rFonts w:cs="Times New Roman"/>
        </w:rPr>
        <w:t>2）</w:t>
      </w:r>
      <w:r>
        <w:rPr>
          <w:rFonts w:hint="eastAsia" w:cs="Times New Roman"/>
        </w:rPr>
        <w:t>难以避免</w:t>
      </w:r>
      <w:r>
        <w:rPr>
          <w:rFonts w:cs="Times New Roman"/>
        </w:rPr>
        <w:t>P</w:t>
      </w:r>
      <w:r>
        <w:rPr>
          <w:rFonts w:cs="Times New Roman"/>
          <w:vertAlign w:val="subscript"/>
        </w:rPr>
        <w:t>2</w:t>
      </w:r>
      <w:r>
        <w:rPr>
          <w:rFonts w:hint="eastAsia" w:cs="Times New Roman"/>
        </w:rPr>
        <w:t>；</w:t>
      </w:r>
    </w:p>
    <w:p w14:paraId="31724236">
      <w:pPr>
        <w:pStyle w:val="44"/>
        <w:spacing w:before="156" w:after="156"/>
        <w:ind w:firstLine="420"/>
        <w:rPr>
          <w:rFonts w:cs="Times New Roman"/>
        </w:rPr>
      </w:pPr>
      <w:r>
        <w:rPr>
          <w:rFonts w:hint="eastAsia" w:cs="Times New Roman"/>
        </w:rPr>
        <w:t>综合考虑各项影响因素，确定</w:t>
      </w:r>
      <w:r>
        <w:rPr>
          <w:rFonts w:cs="Times New Roman"/>
        </w:rPr>
        <w:t>1</w:t>
      </w:r>
      <w:r>
        <w:rPr>
          <w:rFonts w:hint="eastAsia" w:cs="Times New Roman"/>
        </w:rPr>
        <w:t>、</w:t>
      </w:r>
      <w:r>
        <w:rPr>
          <w:rFonts w:cs="Times New Roman"/>
        </w:rPr>
        <w:t>2</w:t>
      </w:r>
      <w:r>
        <w:rPr>
          <w:rFonts w:hint="eastAsia" w:cs="Times New Roman"/>
        </w:rPr>
        <w:t>、</w:t>
      </w:r>
      <w:r>
        <w:rPr>
          <w:rFonts w:cs="Times New Roman"/>
        </w:rPr>
        <w:t>3</w:t>
      </w:r>
      <w:r>
        <w:rPr>
          <w:rFonts w:hint="eastAsia" w:cs="Times New Roman"/>
        </w:rPr>
        <w:t>三级风险指数。</w:t>
      </w:r>
    </w:p>
    <w:p w14:paraId="280D4E4D">
      <w:pPr>
        <w:pStyle w:val="44"/>
        <w:spacing w:before="156" w:after="156"/>
        <w:ind w:firstLine="0" w:firstLineChars="0"/>
        <w:jc w:val="center"/>
        <w:rPr>
          <w:rFonts w:cs="Times New Roman"/>
        </w:rPr>
      </w:pPr>
      <w:r>
        <w:rPr>
          <w:rFonts w:cs="Times New Roman"/>
        </w:rPr>
        <w:drawing>
          <wp:inline distT="0" distB="0" distL="0" distR="0">
            <wp:extent cx="3298190" cy="31159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3307489" cy="3124622"/>
                    </a:xfrm>
                    <a:prstGeom prst="rect">
                      <a:avLst/>
                    </a:prstGeom>
                  </pic:spPr>
                </pic:pic>
              </a:graphicData>
            </a:graphic>
          </wp:inline>
        </w:drawing>
      </w:r>
    </w:p>
    <w:p w14:paraId="6CE72C2B">
      <w:pPr>
        <w:pStyle w:val="70"/>
        <w:spacing w:before="156" w:after="156"/>
        <w:rPr>
          <w:rFonts w:cs="Times New Roman"/>
        </w:rPr>
      </w:pPr>
      <w:bookmarkStart w:id="32" w:name="_Toc130762931"/>
      <w:r>
        <w:rPr>
          <w:rFonts w:hint="eastAsia" w:cs="Times New Roman"/>
        </w:rPr>
        <w:t>图1 风险等级的确定规则</w:t>
      </w:r>
      <w:bookmarkEnd w:id="32"/>
    </w:p>
    <w:p w14:paraId="61691AA3">
      <w:pPr>
        <w:pStyle w:val="57"/>
        <w:numPr>
          <w:ilvl w:val="0"/>
          <w:numId w:val="0"/>
        </w:numPr>
        <w:rPr>
          <w:rFonts w:cs="Times New Roman"/>
          <w:b w:val="0"/>
          <w:bCs w:val="0"/>
        </w:rPr>
      </w:pPr>
      <w:bookmarkStart w:id="33" w:name="_Toc130762922"/>
      <w:r>
        <w:rPr>
          <w:rFonts w:cs="Times New Roman"/>
          <w:b w:val="0"/>
          <w:bCs w:val="0"/>
        </w:rPr>
        <w:t xml:space="preserve">7.2 </w:t>
      </w:r>
      <w:r>
        <w:rPr>
          <w:rFonts w:hint="eastAsia" w:cs="Times New Roman"/>
          <w:b w:val="0"/>
          <w:bCs w:val="0"/>
        </w:rPr>
        <w:t>风险等级确定</w:t>
      </w:r>
      <w:bookmarkEnd w:id="33"/>
    </w:p>
    <w:p w14:paraId="76C5A939">
      <w:pPr>
        <w:pStyle w:val="44"/>
        <w:spacing w:before="156" w:after="156"/>
        <w:ind w:firstLine="420"/>
        <w:rPr>
          <w:rFonts w:cs="Times New Roman"/>
        </w:rPr>
      </w:pPr>
      <w:r>
        <w:rPr>
          <w:rFonts w:cs="Times New Roman"/>
        </w:rPr>
        <w:t xml:space="preserve">7.2.1 </w:t>
      </w:r>
      <w:r>
        <w:rPr>
          <w:rFonts w:hint="eastAsia" w:cs="Times New Roman"/>
        </w:rPr>
        <w:t>根据风险指数，对应划定轻度风险、中度风险、高度风险三个风险等级。</w:t>
      </w:r>
    </w:p>
    <w:p w14:paraId="0404DF6D">
      <w:pPr>
        <w:pStyle w:val="44"/>
        <w:spacing w:before="156" w:after="156"/>
        <w:ind w:firstLine="420"/>
        <w:rPr>
          <w:rFonts w:cs="Times New Roman"/>
        </w:rPr>
      </w:pPr>
      <w:r>
        <w:rPr>
          <w:rFonts w:cs="Times New Roman"/>
        </w:rPr>
        <w:t xml:space="preserve">7.2.2 </w:t>
      </w:r>
      <w:r>
        <w:rPr>
          <w:rFonts w:hint="eastAsia" w:cs="Times New Roman"/>
        </w:rPr>
        <w:t>风险等级确定时可参考</w:t>
      </w:r>
      <w:r>
        <w:rPr>
          <w:rFonts w:cs="Times New Roman"/>
        </w:rPr>
        <w:t>6.3.2.6</w:t>
      </w:r>
      <w:r>
        <w:rPr>
          <w:rFonts w:hint="eastAsia" w:cs="Times New Roman"/>
        </w:rPr>
        <w:t>最后一项功能要求的输出结果，对于多方面损失都比较巨大的，可以提高风险等级。</w:t>
      </w:r>
    </w:p>
    <w:p w14:paraId="4039F3E2">
      <w:pPr>
        <w:pStyle w:val="41"/>
        <w:numPr>
          <w:ilvl w:val="0"/>
          <w:numId w:val="0"/>
        </w:numPr>
        <w:rPr>
          <w:rFonts w:cs="Times New Roman"/>
          <w:b w:val="0"/>
          <w:bCs w:val="0"/>
        </w:rPr>
      </w:pPr>
      <w:bookmarkStart w:id="34" w:name="_Toc130762923"/>
      <w:r>
        <w:rPr>
          <w:rFonts w:cs="Times New Roman"/>
          <w:b w:val="0"/>
          <w:bCs w:val="0"/>
        </w:rPr>
        <w:t xml:space="preserve">8 </w:t>
      </w:r>
      <w:r>
        <w:rPr>
          <w:rFonts w:hint="eastAsia" w:cs="Times New Roman"/>
          <w:b w:val="0"/>
          <w:bCs w:val="0"/>
        </w:rPr>
        <w:t>风险预警措施</w:t>
      </w:r>
      <w:bookmarkEnd w:id="34"/>
    </w:p>
    <w:p w14:paraId="1E4DA74B">
      <w:pPr>
        <w:pStyle w:val="57"/>
        <w:numPr>
          <w:ilvl w:val="0"/>
          <w:numId w:val="0"/>
        </w:numPr>
        <w:rPr>
          <w:rFonts w:cs="Times New Roman"/>
          <w:b w:val="0"/>
          <w:bCs w:val="0"/>
        </w:rPr>
      </w:pPr>
      <w:bookmarkStart w:id="35" w:name="_Toc130762924"/>
      <w:r>
        <w:rPr>
          <w:rFonts w:cs="Times New Roman"/>
          <w:b w:val="0"/>
          <w:bCs w:val="0"/>
        </w:rPr>
        <w:t xml:space="preserve">8.1 </w:t>
      </w:r>
      <w:r>
        <w:rPr>
          <w:rFonts w:hint="eastAsia" w:cs="Times New Roman"/>
          <w:b w:val="0"/>
          <w:bCs w:val="0"/>
        </w:rPr>
        <w:t>预警措施分级</w:t>
      </w:r>
      <w:bookmarkEnd w:id="35"/>
    </w:p>
    <w:p w14:paraId="40B50650">
      <w:pPr>
        <w:pStyle w:val="44"/>
        <w:spacing w:before="156" w:after="156"/>
        <w:ind w:firstLine="420"/>
        <w:rPr>
          <w:rFonts w:cs="Times New Roman"/>
        </w:rPr>
      </w:pPr>
      <w:r>
        <w:rPr>
          <w:rFonts w:cs="Times New Roman"/>
        </w:rPr>
        <w:t xml:space="preserve">8.1.1 </w:t>
      </w:r>
      <w:r>
        <w:rPr>
          <w:rFonts w:hint="eastAsia" w:cs="Times New Roman"/>
        </w:rPr>
        <w:t>综合考虑预警措施的防控处置力度、开展相关措施的成本等因素</w:t>
      </w:r>
      <w:r>
        <w:rPr>
          <w:rFonts w:cs="Times New Roman"/>
        </w:rPr>
        <w:t>，</w:t>
      </w:r>
      <w:r>
        <w:rPr>
          <w:rFonts w:hint="eastAsia" w:cs="Times New Roman"/>
        </w:rPr>
        <w:t>将预警措施分为：常态预警措施、一般预警措施、重大预警措施、最高预警措施四个等级。</w:t>
      </w:r>
    </w:p>
    <w:p w14:paraId="7A8CC277">
      <w:pPr>
        <w:pStyle w:val="44"/>
        <w:spacing w:before="156" w:after="156"/>
        <w:ind w:firstLine="420"/>
        <w:rPr>
          <w:rFonts w:cs="Times New Roman"/>
        </w:rPr>
      </w:pPr>
      <w:r>
        <w:rPr>
          <w:rFonts w:hint="eastAsia" w:cs="Times New Roman"/>
        </w:rPr>
        <w:t>常态预警措施包括但不限于：</w:t>
      </w:r>
    </w:p>
    <w:p w14:paraId="5FD61CA4">
      <w:pPr>
        <w:pStyle w:val="44"/>
        <w:spacing w:before="156" w:after="156"/>
        <w:ind w:firstLine="420"/>
        <w:rPr>
          <w:rFonts w:cs="Times New Roman"/>
        </w:rPr>
      </w:pPr>
      <w:r>
        <w:rPr>
          <w:rFonts w:hint="eastAsia" w:cs="Times New Roman"/>
        </w:rPr>
        <w:t>——电气设备及系统上设置的听觉、视觉、触觉措施；</w:t>
      </w:r>
    </w:p>
    <w:p w14:paraId="451BCB76">
      <w:pPr>
        <w:pStyle w:val="44"/>
        <w:spacing w:before="156" w:after="156"/>
        <w:ind w:firstLine="420"/>
        <w:rPr>
          <w:rFonts w:cs="Times New Roman"/>
        </w:rPr>
      </w:pPr>
      <w:r>
        <w:rPr>
          <w:rFonts w:hint="eastAsia" w:cs="Times New Roman"/>
        </w:rPr>
        <w:t>——应用场所的警示措施，可包括：指示灯、图形符号、安全标志、安全标语等；</w:t>
      </w:r>
    </w:p>
    <w:p w14:paraId="7A94EF13">
      <w:pPr>
        <w:pStyle w:val="44"/>
        <w:spacing w:before="156" w:after="156"/>
        <w:ind w:firstLine="420"/>
        <w:rPr>
          <w:rFonts w:cs="Times New Roman"/>
        </w:rPr>
      </w:pPr>
      <w:r>
        <w:rPr>
          <w:rFonts w:hint="eastAsia" w:cs="Times New Roman"/>
        </w:rPr>
        <w:t>——工作人员的定期培训；</w:t>
      </w:r>
    </w:p>
    <w:p w14:paraId="775C81F5">
      <w:pPr>
        <w:pStyle w:val="44"/>
        <w:spacing w:before="156" w:after="156"/>
        <w:ind w:firstLine="420"/>
        <w:rPr>
          <w:rFonts w:cs="Times New Roman"/>
        </w:rPr>
      </w:pPr>
      <w:r>
        <w:rPr>
          <w:rFonts w:hint="eastAsia" w:cs="Times New Roman"/>
        </w:rPr>
        <w:t>——定时或常态开启通风系统；</w:t>
      </w:r>
    </w:p>
    <w:p w14:paraId="625111A6">
      <w:pPr>
        <w:pStyle w:val="44"/>
        <w:spacing w:before="156" w:after="156"/>
        <w:ind w:firstLine="420"/>
        <w:rPr>
          <w:rFonts w:cs="Times New Roman"/>
        </w:rPr>
      </w:pPr>
      <w:r>
        <w:rPr>
          <w:rFonts w:hint="eastAsia" w:cs="Times New Roman"/>
        </w:rPr>
        <w:t>——辅助系统的监控措施等。</w:t>
      </w:r>
    </w:p>
    <w:p w14:paraId="041FFC04">
      <w:pPr>
        <w:pStyle w:val="44"/>
        <w:spacing w:before="156" w:after="156"/>
        <w:ind w:firstLine="420"/>
        <w:rPr>
          <w:rFonts w:cs="Times New Roman"/>
        </w:rPr>
      </w:pPr>
      <w:r>
        <w:rPr>
          <w:rFonts w:hint="eastAsia" w:cs="Times New Roman"/>
        </w:rPr>
        <w:t>一般预警措施包括但不限于：</w:t>
      </w:r>
    </w:p>
    <w:p w14:paraId="7EC966B4">
      <w:pPr>
        <w:pStyle w:val="44"/>
        <w:spacing w:before="156" w:after="156"/>
        <w:ind w:firstLine="420"/>
        <w:rPr>
          <w:rFonts w:cs="Times New Roman"/>
        </w:rPr>
      </w:pPr>
      <w:r>
        <w:rPr>
          <w:rFonts w:hint="eastAsia" w:cs="Times New Roman"/>
        </w:rPr>
        <w:t>——风险区域内的报警指示灯、报警铃声；</w:t>
      </w:r>
    </w:p>
    <w:p w14:paraId="14BECDCC">
      <w:pPr>
        <w:pStyle w:val="44"/>
        <w:spacing w:before="156" w:after="156"/>
        <w:ind w:firstLine="420"/>
        <w:rPr>
          <w:rFonts w:cs="Times New Roman"/>
        </w:rPr>
      </w:pPr>
      <w:r>
        <w:rPr>
          <w:rFonts w:hint="eastAsia" w:cs="Times New Roman"/>
        </w:rPr>
        <w:t>——工作人员应急防护设备穿戴；</w:t>
      </w:r>
    </w:p>
    <w:p w14:paraId="01A09A2A">
      <w:pPr>
        <w:pStyle w:val="44"/>
        <w:spacing w:before="156" w:after="156"/>
        <w:ind w:firstLine="420"/>
        <w:rPr>
          <w:rFonts w:cs="Times New Roman"/>
        </w:rPr>
      </w:pPr>
      <w:r>
        <w:rPr>
          <w:rFonts w:hint="eastAsia" w:cs="Times New Roman"/>
        </w:rPr>
        <w:t>——工作人员撤离风险区域；</w:t>
      </w:r>
    </w:p>
    <w:p w14:paraId="7A4A88F2">
      <w:pPr>
        <w:pStyle w:val="44"/>
        <w:spacing w:before="156" w:after="156"/>
        <w:ind w:firstLine="420"/>
        <w:rPr>
          <w:rFonts w:cs="Times New Roman"/>
        </w:rPr>
      </w:pPr>
      <w:r>
        <w:rPr>
          <w:rFonts w:hint="eastAsia" w:cs="Times New Roman"/>
        </w:rPr>
        <w:t>——通风系统全功率开启；</w:t>
      </w:r>
    </w:p>
    <w:p w14:paraId="53BBB623">
      <w:pPr>
        <w:pStyle w:val="44"/>
        <w:spacing w:before="156" w:after="156"/>
        <w:ind w:firstLine="420"/>
        <w:rPr>
          <w:rFonts w:cs="Times New Roman"/>
        </w:rPr>
      </w:pPr>
      <w:r>
        <w:rPr>
          <w:rFonts w:hint="eastAsia" w:cs="Times New Roman"/>
        </w:rPr>
        <w:t>——风险区域内设备关闭</w:t>
      </w:r>
      <w:r>
        <w:rPr>
          <w:rFonts w:cs="Times New Roman"/>
        </w:rPr>
        <w:t>/</w:t>
      </w:r>
      <w:r>
        <w:rPr>
          <w:rFonts w:hint="eastAsia" w:cs="Times New Roman"/>
        </w:rPr>
        <w:t>切断。</w:t>
      </w:r>
    </w:p>
    <w:p w14:paraId="3EBCEA5A">
      <w:pPr>
        <w:pStyle w:val="44"/>
        <w:spacing w:before="156" w:after="156"/>
        <w:ind w:firstLine="420"/>
        <w:rPr>
          <w:rFonts w:cs="Times New Roman"/>
        </w:rPr>
      </w:pPr>
      <w:r>
        <w:rPr>
          <w:rFonts w:hint="eastAsia" w:cs="Times New Roman"/>
        </w:rPr>
        <w:t>重大预警措施包括但不限于：</w:t>
      </w:r>
    </w:p>
    <w:p w14:paraId="5F229610">
      <w:pPr>
        <w:pStyle w:val="44"/>
        <w:spacing w:before="156" w:after="156"/>
        <w:ind w:firstLine="420"/>
        <w:rPr>
          <w:rFonts w:cs="Times New Roman"/>
        </w:rPr>
      </w:pPr>
      <w:r>
        <w:rPr>
          <w:rFonts w:hint="eastAsia" w:cs="Times New Roman"/>
        </w:rPr>
        <w:t>——全储能电站区域内的报警指示灯、报警铃声；</w:t>
      </w:r>
    </w:p>
    <w:p w14:paraId="20F5E257">
      <w:pPr>
        <w:pStyle w:val="44"/>
        <w:spacing w:before="156" w:after="156"/>
        <w:ind w:firstLine="420"/>
        <w:rPr>
          <w:rFonts w:cs="Times New Roman"/>
        </w:rPr>
      </w:pPr>
      <w:r>
        <w:rPr>
          <w:rFonts w:hint="eastAsia" w:cs="Times New Roman"/>
        </w:rPr>
        <w:t>——工作人员撤离储能电站；</w:t>
      </w:r>
    </w:p>
    <w:p w14:paraId="7D5B5C51">
      <w:pPr>
        <w:pStyle w:val="44"/>
        <w:spacing w:before="156" w:after="156"/>
        <w:ind w:firstLine="420"/>
        <w:rPr>
          <w:rFonts w:cs="Times New Roman"/>
        </w:rPr>
      </w:pPr>
      <w:r>
        <w:rPr>
          <w:rFonts w:hint="eastAsia" w:cs="Times New Roman"/>
        </w:rPr>
        <w:t>——储能电站的紧急关闭</w:t>
      </w:r>
      <w:r>
        <w:rPr>
          <w:rFonts w:cs="Times New Roman"/>
        </w:rPr>
        <w:t>/</w:t>
      </w:r>
      <w:r>
        <w:rPr>
          <w:rFonts w:hint="eastAsia" w:cs="Times New Roman"/>
        </w:rPr>
        <w:t>切断，通风系统视情况启动或关闭；</w:t>
      </w:r>
    </w:p>
    <w:p w14:paraId="0A4E74CC">
      <w:pPr>
        <w:pStyle w:val="44"/>
        <w:spacing w:before="156" w:after="156"/>
        <w:ind w:firstLine="420"/>
        <w:rPr>
          <w:rFonts w:cs="Times New Roman"/>
        </w:rPr>
      </w:pPr>
      <w:r>
        <w:rPr>
          <w:rFonts w:hint="eastAsia" w:cs="Times New Roman"/>
        </w:rPr>
        <w:t>——应急预案启动，安全辅助系统协助降低风险；</w:t>
      </w:r>
    </w:p>
    <w:p w14:paraId="5CCF9878">
      <w:pPr>
        <w:pStyle w:val="44"/>
        <w:spacing w:before="156" w:after="156"/>
        <w:ind w:firstLine="420"/>
        <w:rPr>
          <w:rFonts w:cs="Times New Roman"/>
        </w:rPr>
      </w:pPr>
      <w:r>
        <w:rPr>
          <w:rFonts w:hint="eastAsia" w:cs="Times New Roman"/>
        </w:rPr>
        <w:t>——监测数据实时上传上层云端平台。</w:t>
      </w:r>
    </w:p>
    <w:p w14:paraId="1511F486">
      <w:pPr>
        <w:pStyle w:val="44"/>
        <w:spacing w:before="156" w:after="156"/>
        <w:ind w:firstLine="420"/>
        <w:rPr>
          <w:rFonts w:cs="Times New Roman"/>
        </w:rPr>
      </w:pPr>
      <w:r>
        <w:rPr>
          <w:rFonts w:hint="eastAsia" w:cs="Times New Roman"/>
        </w:rPr>
        <w:t>最高预警措施包括但不限于：</w:t>
      </w:r>
    </w:p>
    <w:p w14:paraId="7F544385">
      <w:pPr>
        <w:pStyle w:val="44"/>
        <w:spacing w:before="156" w:after="156"/>
        <w:ind w:firstLine="420"/>
        <w:rPr>
          <w:rFonts w:cs="Times New Roman"/>
        </w:rPr>
      </w:pPr>
      <w:r>
        <w:rPr>
          <w:rFonts w:hint="eastAsia" w:cs="Times New Roman"/>
        </w:rPr>
        <w:t>——工作人员撤离至远离储能电站的安全区域；</w:t>
      </w:r>
    </w:p>
    <w:p w14:paraId="206B3E23">
      <w:pPr>
        <w:pStyle w:val="44"/>
        <w:spacing w:before="156" w:after="156"/>
        <w:ind w:firstLine="420"/>
        <w:rPr>
          <w:rFonts w:cs="Times New Roman"/>
        </w:rPr>
      </w:pPr>
      <w:r>
        <w:rPr>
          <w:rFonts w:hint="eastAsia" w:cs="Times New Roman"/>
        </w:rPr>
        <w:t>——封锁储能电站及周边风险地区，禁止人员进入；</w:t>
      </w:r>
    </w:p>
    <w:p w14:paraId="22BE7DFC">
      <w:pPr>
        <w:pStyle w:val="44"/>
        <w:spacing w:before="156" w:after="156"/>
        <w:ind w:firstLine="420"/>
        <w:rPr>
          <w:rFonts w:cs="Times New Roman"/>
        </w:rPr>
      </w:pPr>
      <w:r>
        <w:rPr>
          <w:rFonts w:hint="eastAsia" w:cs="Times New Roman"/>
        </w:rPr>
        <w:t>——向消防部门和应急管理机构发送报警信息。</w:t>
      </w:r>
    </w:p>
    <w:p w14:paraId="04A897EC">
      <w:pPr>
        <w:pStyle w:val="57"/>
        <w:numPr>
          <w:ilvl w:val="0"/>
          <w:numId w:val="0"/>
        </w:numPr>
        <w:rPr>
          <w:b w:val="0"/>
          <w:bCs w:val="0"/>
        </w:rPr>
      </w:pPr>
      <w:r>
        <w:rPr>
          <w:rFonts w:hint="eastAsia"/>
          <w:b w:val="0"/>
          <w:bCs w:val="0"/>
        </w:rPr>
        <w:t>8</w:t>
      </w:r>
      <w:r>
        <w:rPr>
          <w:b w:val="0"/>
          <w:bCs w:val="0"/>
        </w:rPr>
        <w:t xml:space="preserve">.2 </w:t>
      </w:r>
      <w:r>
        <w:rPr>
          <w:rFonts w:hint="eastAsia"/>
          <w:b w:val="0"/>
          <w:bCs w:val="0"/>
        </w:rPr>
        <w:t>预警措施实施</w:t>
      </w:r>
    </w:p>
    <w:p w14:paraId="048205D9">
      <w:pPr>
        <w:pStyle w:val="44"/>
        <w:spacing w:before="156" w:after="156"/>
        <w:ind w:firstLine="420"/>
      </w:pPr>
      <w:r>
        <w:rPr>
          <w:rFonts w:hint="eastAsia"/>
        </w:rPr>
        <w:t>根据风险等级，执行不同等级的预警措施。轻度风险等级执行常态预警措施和一般预警措施，中度风险等级执行常态预警措施、一般预警措施和重大预警措施，高度风险等级执行常态预警措施、一般预警措施、重大预警措施和最高预警措施。</w:t>
      </w:r>
    </w:p>
    <w:p w14:paraId="17251492">
      <w:pPr>
        <w:pStyle w:val="57"/>
        <w:numPr>
          <w:ilvl w:val="0"/>
          <w:numId w:val="0"/>
        </w:numPr>
        <w:rPr>
          <w:rFonts w:cs="Times New Roman"/>
          <w:b w:val="0"/>
          <w:bCs w:val="0"/>
        </w:rPr>
      </w:pPr>
      <w:bookmarkStart w:id="36" w:name="_Toc130762925"/>
      <w:r>
        <w:rPr>
          <w:rFonts w:cs="Times New Roman"/>
          <w:b w:val="0"/>
          <w:bCs w:val="0"/>
        </w:rPr>
        <w:t xml:space="preserve">8.3 </w:t>
      </w:r>
      <w:r>
        <w:rPr>
          <w:rFonts w:hint="eastAsia" w:cs="Times New Roman"/>
          <w:b w:val="0"/>
          <w:bCs w:val="0"/>
        </w:rPr>
        <w:t>预警措施解除</w:t>
      </w:r>
      <w:bookmarkEnd w:id="36"/>
    </w:p>
    <w:p w14:paraId="0775CF4F">
      <w:pPr>
        <w:pStyle w:val="44"/>
        <w:spacing w:before="156" w:after="156"/>
        <w:ind w:firstLine="420"/>
        <w:rPr>
          <w:rFonts w:cs="Times New Roman"/>
        </w:rPr>
      </w:pPr>
      <w:r>
        <w:rPr>
          <w:rFonts w:cs="Times New Roman"/>
        </w:rPr>
        <w:t xml:space="preserve">8.3.1 </w:t>
      </w:r>
      <w:r>
        <w:rPr>
          <w:rFonts w:hint="eastAsia" w:cs="Times New Roman"/>
        </w:rPr>
        <w:t>当预警风险要素不能形成闭环，例如人员撤离、设备危险状态解除等危险情况消除或危险达不到预警级别时，可及时解除预警措施。</w:t>
      </w:r>
    </w:p>
    <w:p w14:paraId="14A04DDC">
      <w:pPr>
        <w:pStyle w:val="44"/>
        <w:spacing w:before="156" w:after="156"/>
        <w:ind w:firstLine="420"/>
        <w:rPr>
          <w:rFonts w:cs="Times New Roman"/>
        </w:rPr>
      </w:pPr>
      <w:r>
        <w:rPr>
          <w:rFonts w:cs="Times New Roman"/>
        </w:rPr>
        <w:t xml:space="preserve">8.3.2 </w:t>
      </w:r>
      <w:r>
        <w:rPr>
          <w:rFonts w:hint="eastAsia" w:cs="Times New Roman"/>
        </w:rPr>
        <w:t>预警措施的解除需要同时经过系统判断和人工确认。</w:t>
      </w:r>
    </w:p>
    <w:p w14:paraId="50CC9AFA">
      <w:pPr>
        <w:pStyle w:val="44"/>
        <w:spacing w:before="156" w:after="156"/>
        <w:ind w:firstLine="420"/>
        <w:rPr>
          <w:rFonts w:cs="Times New Roman"/>
        </w:rPr>
      </w:pPr>
    </w:p>
    <w:p w14:paraId="08FC8942">
      <w:pPr>
        <w:pStyle w:val="44"/>
        <w:spacing w:before="156" w:after="156"/>
        <w:ind w:firstLine="420"/>
        <w:rPr>
          <w:rFonts w:cs="Times New Roman"/>
        </w:rPr>
      </w:pPr>
    </w:p>
    <w:p w14:paraId="00968003">
      <w:pPr>
        <w:pStyle w:val="44"/>
        <w:spacing w:before="156" w:after="156"/>
        <w:ind w:firstLine="420"/>
        <w:rPr>
          <w:rFonts w:cs="Times New Roman"/>
        </w:rPr>
        <w:sectPr>
          <w:footerReference r:id="rId16" w:type="first"/>
          <w:headerReference r:id="rId12" w:type="default"/>
          <w:footerReference r:id="rId14" w:type="default"/>
          <w:headerReference r:id="rId13" w:type="even"/>
          <w:footerReference r:id="rId15" w:type="even"/>
          <w:pgSz w:w="11906" w:h="16838"/>
          <w:pgMar w:top="1418" w:right="1418" w:bottom="1134" w:left="1418" w:header="1417" w:footer="1134" w:gutter="0"/>
          <w:pgNumType w:start="1"/>
          <w:cols w:space="425" w:num="1"/>
          <w:titlePg/>
          <w:docGrid w:type="lines" w:linePitch="312" w:charSpace="0"/>
        </w:sectPr>
      </w:pPr>
    </w:p>
    <w:p w14:paraId="0472A229">
      <w:pPr>
        <w:pStyle w:val="90"/>
        <w:numPr>
          <w:ilvl w:val="0"/>
          <w:numId w:val="0"/>
        </w:numPr>
        <w:rPr>
          <w:rFonts w:ascii="Times New Roman"/>
        </w:rPr>
      </w:pPr>
      <w:bookmarkStart w:id="37" w:name="_Toc130762926"/>
      <w:r>
        <w:rPr>
          <w:rFonts w:hint="eastAsia" w:ascii="Times New Roman"/>
        </w:rPr>
        <w:t>附</w:t>
      </w:r>
      <w:r>
        <w:rPr>
          <w:rFonts w:ascii="Times New Roman"/>
        </w:rPr>
        <w:t xml:space="preserve"> </w:t>
      </w:r>
      <w:r>
        <w:rPr>
          <w:rFonts w:hint="eastAsia" w:ascii="Times New Roman"/>
        </w:rPr>
        <w:t>录</w:t>
      </w:r>
      <w:r>
        <w:rPr>
          <w:rFonts w:ascii="Times New Roman"/>
        </w:rPr>
        <w:t xml:space="preserve"> A</w:t>
      </w:r>
      <w:r>
        <w:rPr>
          <w:rFonts w:ascii="Times New Roman"/>
        </w:rPr>
        <w:br w:type="textWrapping"/>
      </w:r>
      <w:bookmarkStart w:id="38" w:name="_Toc525119175"/>
      <w:bookmarkStart w:id="39" w:name="_Toc524441558"/>
      <w:bookmarkStart w:id="40" w:name="_Toc525303008"/>
      <w:r>
        <w:rPr>
          <w:rFonts w:hint="eastAsia" w:ascii="Times New Roman"/>
        </w:rPr>
        <w:t>（资料性）</w:t>
      </w:r>
      <w:r>
        <w:rPr>
          <w:rFonts w:ascii="Times New Roman"/>
        </w:rPr>
        <w:br w:type="textWrapping"/>
      </w:r>
      <w:bookmarkEnd w:id="38"/>
      <w:bookmarkEnd w:id="39"/>
      <w:bookmarkEnd w:id="40"/>
      <w:r>
        <w:rPr>
          <w:rFonts w:hint="eastAsia" w:ascii="Times New Roman"/>
        </w:rPr>
        <w:t>安全检查法</w:t>
      </w:r>
      <w:bookmarkEnd w:id="37"/>
      <w:r>
        <w:rPr>
          <w:rFonts w:hint="eastAsia" w:ascii="Times New Roman"/>
        </w:rPr>
        <w:t>示例</w:t>
      </w:r>
    </w:p>
    <w:p w14:paraId="0A3F0D71">
      <w:pPr>
        <w:pStyle w:val="107"/>
        <w:spacing w:before="156" w:after="156"/>
        <w:rPr>
          <w:rFonts w:cs="Times New Roman"/>
        </w:rPr>
      </w:pPr>
      <w:bookmarkStart w:id="41" w:name="_Toc1651908"/>
      <w:bookmarkStart w:id="42" w:name="_Toc130762933"/>
      <w:bookmarkStart w:id="43" w:name="_Toc29901"/>
      <w:r>
        <w:rPr>
          <w:rFonts w:hint="eastAsia" w:cs="Times New Roman"/>
        </w:rPr>
        <w:t>表</w:t>
      </w:r>
      <w:r>
        <w:rPr>
          <w:rFonts w:cs="Times New Roman"/>
        </w:rPr>
        <w:t xml:space="preserve">A.1 </w:t>
      </w:r>
      <w:bookmarkEnd w:id="41"/>
      <w:r>
        <w:rPr>
          <w:rFonts w:hint="eastAsia" w:cs="Times New Roman"/>
        </w:rPr>
        <w:t>安全检查表</w:t>
      </w:r>
      <w:bookmarkEnd w:id="42"/>
      <w:r>
        <w:rPr>
          <w:rFonts w:hint="eastAsia" w:cs="Times New Roman"/>
        </w:rPr>
        <w:t>示例</w:t>
      </w:r>
      <w:bookmarkEnd w:id="43"/>
    </w:p>
    <w:tbl>
      <w:tblPr>
        <w:tblStyle w:val="22"/>
        <w:tblW w:w="8721" w:type="dxa"/>
        <w:jc w:val="center"/>
        <w:tblLayout w:type="autofit"/>
        <w:tblCellMar>
          <w:top w:w="0" w:type="dxa"/>
          <w:left w:w="0" w:type="dxa"/>
          <w:bottom w:w="0" w:type="dxa"/>
          <w:right w:w="0" w:type="dxa"/>
        </w:tblCellMar>
      </w:tblPr>
      <w:tblGrid>
        <w:gridCol w:w="1386"/>
        <w:gridCol w:w="1842"/>
        <w:gridCol w:w="2004"/>
        <w:gridCol w:w="1744"/>
        <w:gridCol w:w="1745"/>
      </w:tblGrid>
      <w:tr w14:paraId="099323EC">
        <w:tblPrEx>
          <w:tblCellMar>
            <w:top w:w="0" w:type="dxa"/>
            <w:left w:w="0" w:type="dxa"/>
            <w:bottom w:w="0" w:type="dxa"/>
            <w:right w:w="0" w:type="dxa"/>
          </w:tblCellMar>
        </w:tblPrEx>
        <w:trPr>
          <w:trHeight w:val="584" w:hRule="atLeast"/>
          <w:jc w:val="center"/>
        </w:trPr>
        <w:tc>
          <w:tcPr>
            <w:tcW w:w="1386" w:type="dxa"/>
            <w:tcBorders>
              <w:top w:val="single" w:color="auto" w:sz="12" w:space="0"/>
              <w:left w:val="single" w:color="auto" w:sz="12" w:space="0"/>
              <w:bottom w:val="single" w:color="auto" w:sz="12" w:space="0"/>
              <w:right w:val="single" w:color="000000" w:sz="8" w:space="0"/>
            </w:tcBorders>
            <w:shd w:val="clear" w:color="auto" w:fill="auto"/>
            <w:tcMar>
              <w:top w:w="72" w:type="dxa"/>
              <w:left w:w="144" w:type="dxa"/>
              <w:bottom w:w="72" w:type="dxa"/>
              <w:right w:w="144" w:type="dxa"/>
            </w:tcMar>
            <w:vAlign w:val="center"/>
          </w:tcPr>
          <w:p w14:paraId="0D4829C4">
            <w:pPr>
              <w:pStyle w:val="44"/>
              <w:spacing w:before="156" w:after="156"/>
              <w:ind w:firstLine="0" w:firstLineChars="0"/>
              <w:jc w:val="center"/>
              <w:rPr>
                <w:rFonts w:cs="Times New Roman"/>
              </w:rPr>
            </w:pPr>
            <w:r>
              <w:rPr>
                <w:rFonts w:cs="Times New Roman"/>
              </w:rPr>
              <w:t>序号</w:t>
            </w:r>
          </w:p>
        </w:tc>
        <w:tc>
          <w:tcPr>
            <w:tcW w:w="1842"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31199FEB">
            <w:pPr>
              <w:pStyle w:val="44"/>
              <w:spacing w:before="156" w:after="156"/>
              <w:ind w:firstLine="0" w:firstLineChars="0"/>
              <w:jc w:val="center"/>
              <w:rPr>
                <w:rFonts w:cs="Times New Roman"/>
              </w:rPr>
            </w:pPr>
            <w:r>
              <w:rPr>
                <w:rFonts w:cs="Times New Roman"/>
              </w:rPr>
              <w:t>检查项目</w:t>
            </w:r>
          </w:p>
        </w:tc>
        <w:tc>
          <w:tcPr>
            <w:tcW w:w="2004"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081580FE">
            <w:pPr>
              <w:pStyle w:val="44"/>
              <w:spacing w:before="156" w:after="156"/>
              <w:ind w:firstLine="0" w:firstLineChars="0"/>
              <w:jc w:val="center"/>
              <w:rPr>
                <w:rFonts w:cs="Times New Roman"/>
              </w:rPr>
            </w:pPr>
            <w:r>
              <w:rPr>
                <w:rFonts w:hint="eastAsia" w:cs="Times New Roman"/>
              </w:rPr>
              <w:t>危险和有害因素</w:t>
            </w:r>
          </w:p>
        </w:tc>
        <w:tc>
          <w:tcPr>
            <w:tcW w:w="1744"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3D057035">
            <w:pPr>
              <w:pStyle w:val="44"/>
              <w:spacing w:before="156" w:after="156"/>
              <w:ind w:firstLine="0" w:firstLineChars="0"/>
              <w:jc w:val="center"/>
              <w:rPr>
                <w:rFonts w:cs="Times New Roman"/>
              </w:rPr>
            </w:pPr>
            <w:r>
              <w:rPr>
                <w:rFonts w:cs="Times New Roman"/>
              </w:rPr>
              <w:t>存在风险</w:t>
            </w:r>
          </w:p>
        </w:tc>
        <w:tc>
          <w:tcPr>
            <w:tcW w:w="1745" w:type="dxa"/>
            <w:tcBorders>
              <w:top w:val="single" w:color="auto" w:sz="12" w:space="0"/>
              <w:left w:val="single" w:color="000000" w:sz="8" w:space="0"/>
              <w:bottom w:val="single" w:color="auto" w:sz="12" w:space="0"/>
              <w:right w:val="single" w:color="auto" w:sz="12" w:space="0"/>
            </w:tcBorders>
            <w:shd w:val="clear" w:color="auto" w:fill="auto"/>
            <w:tcMar>
              <w:top w:w="72" w:type="dxa"/>
              <w:left w:w="144" w:type="dxa"/>
              <w:bottom w:w="72" w:type="dxa"/>
              <w:right w:w="144" w:type="dxa"/>
            </w:tcMar>
            <w:vAlign w:val="center"/>
          </w:tcPr>
          <w:p w14:paraId="376E582B">
            <w:pPr>
              <w:pStyle w:val="44"/>
              <w:spacing w:before="156" w:after="156"/>
              <w:ind w:firstLine="0" w:firstLineChars="0"/>
              <w:jc w:val="center"/>
              <w:rPr>
                <w:rFonts w:cs="Times New Roman"/>
              </w:rPr>
            </w:pPr>
            <w:r>
              <w:rPr>
                <w:rFonts w:cs="Times New Roman"/>
              </w:rPr>
              <w:t>危险等级</w:t>
            </w:r>
          </w:p>
        </w:tc>
      </w:tr>
      <w:tr w14:paraId="7BC5540B">
        <w:tblPrEx>
          <w:tblCellMar>
            <w:top w:w="0" w:type="dxa"/>
            <w:left w:w="0" w:type="dxa"/>
            <w:bottom w:w="0" w:type="dxa"/>
            <w:right w:w="0" w:type="dxa"/>
          </w:tblCellMar>
        </w:tblPrEx>
        <w:trPr>
          <w:trHeight w:val="584" w:hRule="atLeast"/>
          <w:jc w:val="center"/>
        </w:trPr>
        <w:tc>
          <w:tcPr>
            <w:tcW w:w="1386" w:type="dxa"/>
            <w:tcBorders>
              <w:top w:val="single" w:color="auto" w:sz="12" w:space="0"/>
              <w:left w:val="single" w:color="auto" w:sz="12"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95D0F7C">
            <w:pPr>
              <w:pStyle w:val="44"/>
              <w:spacing w:before="156" w:after="156"/>
              <w:ind w:firstLine="0" w:firstLineChars="0"/>
              <w:jc w:val="center"/>
              <w:rPr>
                <w:rFonts w:cs="Times New Roman"/>
              </w:rPr>
            </w:pPr>
            <w:r>
              <w:rPr>
                <w:rFonts w:hint="eastAsia" w:cs="Times New Roman"/>
              </w:rPr>
              <w:t>1</w:t>
            </w:r>
          </w:p>
        </w:tc>
        <w:tc>
          <w:tcPr>
            <w:tcW w:w="1842"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22F08D3">
            <w:pPr>
              <w:pStyle w:val="44"/>
              <w:spacing w:before="156" w:after="156"/>
              <w:ind w:firstLine="0" w:firstLineChars="0"/>
              <w:jc w:val="center"/>
              <w:rPr>
                <w:rFonts w:cs="Times New Roman"/>
              </w:rPr>
            </w:pPr>
            <w:r>
              <w:rPr>
                <w:rFonts w:hint="eastAsia" w:cs="Times New Roman"/>
              </w:rPr>
              <w:t>电池簇</w:t>
            </w:r>
          </w:p>
        </w:tc>
        <w:tc>
          <w:tcPr>
            <w:tcW w:w="2004"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00D4B07">
            <w:pPr>
              <w:pStyle w:val="44"/>
              <w:spacing w:before="156" w:after="156"/>
              <w:ind w:firstLine="0" w:firstLineChars="0"/>
              <w:jc w:val="center"/>
              <w:rPr>
                <w:rFonts w:cs="Times New Roman"/>
              </w:rPr>
            </w:pPr>
            <w:r>
              <w:rPr>
                <w:rFonts w:hint="eastAsia" w:cs="Times New Roman"/>
              </w:rPr>
              <w:t>温度超过阈值</w:t>
            </w:r>
          </w:p>
        </w:tc>
        <w:tc>
          <w:tcPr>
            <w:tcW w:w="1744"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E90489B">
            <w:pPr>
              <w:pStyle w:val="44"/>
              <w:spacing w:before="156" w:after="156"/>
              <w:ind w:firstLine="0" w:firstLineChars="0"/>
              <w:jc w:val="center"/>
              <w:rPr>
                <w:rFonts w:cs="Times New Roman"/>
              </w:rPr>
            </w:pPr>
            <w:r>
              <w:rPr>
                <w:rFonts w:hint="eastAsia" w:cs="Times New Roman"/>
              </w:rPr>
              <w:t>电池簇热失控</w:t>
            </w:r>
          </w:p>
        </w:tc>
        <w:tc>
          <w:tcPr>
            <w:tcW w:w="1745" w:type="dxa"/>
            <w:tcBorders>
              <w:top w:val="single" w:color="auto" w:sz="12" w:space="0"/>
              <w:left w:val="single" w:color="000000" w:sz="8" w:space="0"/>
              <w:bottom w:val="single" w:color="000000" w:sz="8" w:space="0"/>
              <w:right w:val="single" w:color="auto" w:sz="12" w:space="0"/>
            </w:tcBorders>
            <w:shd w:val="clear" w:color="auto" w:fill="auto"/>
            <w:tcMar>
              <w:top w:w="72" w:type="dxa"/>
              <w:left w:w="144" w:type="dxa"/>
              <w:bottom w:w="72" w:type="dxa"/>
              <w:right w:w="144" w:type="dxa"/>
            </w:tcMar>
            <w:vAlign w:val="center"/>
          </w:tcPr>
          <w:p w14:paraId="1F258525">
            <w:pPr>
              <w:pStyle w:val="44"/>
              <w:spacing w:before="156" w:after="156"/>
              <w:ind w:firstLine="0" w:firstLineChars="0"/>
              <w:jc w:val="center"/>
              <w:rPr>
                <w:rFonts w:cs="Times New Roman"/>
              </w:rPr>
            </w:pPr>
            <w:r>
              <w:t>Ⅱ</w:t>
            </w:r>
          </w:p>
        </w:tc>
      </w:tr>
      <w:tr w14:paraId="1D927959">
        <w:tblPrEx>
          <w:tblCellMar>
            <w:top w:w="0" w:type="dxa"/>
            <w:left w:w="0" w:type="dxa"/>
            <w:bottom w:w="0" w:type="dxa"/>
            <w:right w:w="0" w:type="dxa"/>
          </w:tblCellMar>
        </w:tblPrEx>
        <w:trPr>
          <w:trHeight w:val="584" w:hRule="atLeast"/>
          <w:jc w:val="center"/>
        </w:trPr>
        <w:tc>
          <w:tcPr>
            <w:tcW w:w="1386" w:type="dxa"/>
            <w:tcBorders>
              <w:top w:val="single" w:color="000000" w:sz="8" w:space="0"/>
              <w:left w:val="single" w:color="auto" w:sz="12"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289966C">
            <w:pPr>
              <w:pStyle w:val="44"/>
              <w:spacing w:before="156" w:after="156"/>
              <w:ind w:firstLine="0" w:firstLineChars="0"/>
              <w:jc w:val="center"/>
              <w:rPr>
                <w:rFonts w:cs="Times New Roman"/>
              </w:rPr>
            </w:pPr>
          </w:p>
        </w:tc>
        <w:tc>
          <w:tcPr>
            <w:tcW w:w="184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D53A1DC">
            <w:pPr>
              <w:pStyle w:val="44"/>
              <w:spacing w:before="156" w:after="156"/>
              <w:ind w:firstLine="0" w:firstLineChars="0"/>
              <w:jc w:val="center"/>
              <w:rPr>
                <w:rFonts w:cs="Times New Roman"/>
              </w:rPr>
            </w:pPr>
          </w:p>
        </w:tc>
        <w:tc>
          <w:tcPr>
            <w:tcW w:w="200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B3ACF31">
            <w:pPr>
              <w:pStyle w:val="44"/>
              <w:spacing w:before="156" w:after="156"/>
              <w:ind w:firstLine="0" w:firstLineChars="0"/>
              <w:jc w:val="center"/>
              <w:rPr>
                <w:rFonts w:cs="Times New Roman"/>
              </w:rPr>
            </w:pPr>
          </w:p>
        </w:tc>
        <w:tc>
          <w:tcPr>
            <w:tcW w:w="174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9D7FCC3">
            <w:pPr>
              <w:pStyle w:val="44"/>
              <w:spacing w:before="156" w:after="156"/>
              <w:ind w:firstLine="0" w:firstLineChars="0"/>
              <w:jc w:val="center"/>
              <w:rPr>
                <w:rFonts w:cs="Times New Roman"/>
              </w:rPr>
            </w:pPr>
          </w:p>
        </w:tc>
        <w:tc>
          <w:tcPr>
            <w:tcW w:w="1745" w:type="dxa"/>
            <w:tcBorders>
              <w:top w:val="single" w:color="000000" w:sz="8" w:space="0"/>
              <w:left w:val="single" w:color="000000" w:sz="8" w:space="0"/>
              <w:bottom w:val="single" w:color="000000" w:sz="8" w:space="0"/>
              <w:right w:val="single" w:color="auto" w:sz="12" w:space="0"/>
            </w:tcBorders>
            <w:shd w:val="clear" w:color="auto" w:fill="auto"/>
            <w:tcMar>
              <w:top w:w="72" w:type="dxa"/>
              <w:left w:w="144" w:type="dxa"/>
              <w:bottom w:w="72" w:type="dxa"/>
              <w:right w:w="144" w:type="dxa"/>
            </w:tcMar>
            <w:vAlign w:val="center"/>
          </w:tcPr>
          <w:p w14:paraId="4CE9E7B8">
            <w:pPr>
              <w:pStyle w:val="44"/>
              <w:spacing w:before="156" w:after="156"/>
              <w:ind w:firstLine="0" w:firstLineChars="0"/>
              <w:jc w:val="center"/>
              <w:rPr>
                <w:rFonts w:cs="Times New Roman"/>
              </w:rPr>
            </w:pPr>
          </w:p>
        </w:tc>
      </w:tr>
      <w:tr w14:paraId="63C5D1CE">
        <w:tblPrEx>
          <w:tblCellMar>
            <w:top w:w="0" w:type="dxa"/>
            <w:left w:w="0" w:type="dxa"/>
            <w:bottom w:w="0" w:type="dxa"/>
            <w:right w:w="0" w:type="dxa"/>
          </w:tblCellMar>
        </w:tblPrEx>
        <w:trPr>
          <w:trHeight w:val="584" w:hRule="atLeast"/>
          <w:jc w:val="center"/>
        </w:trPr>
        <w:tc>
          <w:tcPr>
            <w:tcW w:w="1386" w:type="dxa"/>
            <w:tcBorders>
              <w:top w:val="single" w:color="000000" w:sz="8" w:space="0"/>
              <w:left w:val="single" w:color="auto" w:sz="12" w:space="0"/>
              <w:bottom w:val="single" w:color="auto" w:sz="12" w:space="0"/>
              <w:right w:val="single" w:color="000000" w:sz="8" w:space="0"/>
            </w:tcBorders>
            <w:shd w:val="clear" w:color="auto" w:fill="auto"/>
            <w:tcMar>
              <w:top w:w="72" w:type="dxa"/>
              <w:left w:w="144" w:type="dxa"/>
              <w:bottom w:w="72" w:type="dxa"/>
              <w:right w:w="144" w:type="dxa"/>
            </w:tcMar>
            <w:vAlign w:val="center"/>
          </w:tcPr>
          <w:p w14:paraId="6CC95E04">
            <w:pPr>
              <w:pStyle w:val="44"/>
              <w:spacing w:before="156" w:after="156"/>
              <w:ind w:firstLine="0" w:firstLineChars="0"/>
              <w:jc w:val="center"/>
              <w:rPr>
                <w:rFonts w:cs="Times New Roman"/>
              </w:rPr>
            </w:pPr>
          </w:p>
        </w:tc>
        <w:tc>
          <w:tcPr>
            <w:tcW w:w="1842"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61A0862D">
            <w:pPr>
              <w:pStyle w:val="44"/>
              <w:spacing w:before="156" w:after="156"/>
              <w:ind w:firstLine="0" w:firstLineChars="0"/>
              <w:jc w:val="center"/>
              <w:rPr>
                <w:rFonts w:cs="Times New Roman"/>
              </w:rPr>
            </w:pPr>
          </w:p>
        </w:tc>
        <w:tc>
          <w:tcPr>
            <w:tcW w:w="2004"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63662916">
            <w:pPr>
              <w:pStyle w:val="44"/>
              <w:spacing w:before="156" w:after="156"/>
              <w:ind w:firstLine="0" w:firstLineChars="0"/>
              <w:jc w:val="center"/>
              <w:rPr>
                <w:rFonts w:cs="Times New Roman"/>
              </w:rPr>
            </w:pPr>
          </w:p>
        </w:tc>
        <w:tc>
          <w:tcPr>
            <w:tcW w:w="1744"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3FEBC2CF">
            <w:pPr>
              <w:pStyle w:val="44"/>
              <w:spacing w:before="156" w:after="156"/>
              <w:ind w:firstLine="0" w:firstLineChars="0"/>
              <w:jc w:val="center"/>
              <w:rPr>
                <w:rFonts w:cs="Times New Roman"/>
              </w:rPr>
            </w:pPr>
          </w:p>
        </w:tc>
        <w:tc>
          <w:tcPr>
            <w:tcW w:w="1745" w:type="dxa"/>
            <w:tcBorders>
              <w:top w:val="single" w:color="000000" w:sz="8" w:space="0"/>
              <w:left w:val="single" w:color="000000" w:sz="8" w:space="0"/>
              <w:bottom w:val="single" w:color="auto" w:sz="12" w:space="0"/>
              <w:right w:val="single" w:color="auto" w:sz="12" w:space="0"/>
            </w:tcBorders>
            <w:shd w:val="clear" w:color="auto" w:fill="auto"/>
            <w:tcMar>
              <w:top w:w="72" w:type="dxa"/>
              <w:left w:w="144" w:type="dxa"/>
              <w:bottom w:w="72" w:type="dxa"/>
              <w:right w:w="144" w:type="dxa"/>
            </w:tcMar>
            <w:vAlign w:val="center"/>
          </w:tcPr>
          <w:p w14:paraId="47B5522E">
            <w:pPr>
              <w:pStyle w:val="44"/>
              <w:spacing w:before="156" w:after="156"/>
              <w:ind w:firstLine="0" w:firstLineChars="0"/>
              <w:jc w:val="center"/>
              <w:rPr>
                <w:rFonts w:cs="Times New Roman"/>
              </w:rPr>
            </w:pPr>
          </w:p>
        </w:tc>
      </w:tr>
    </w:tbl>
    <w:p w14:paraId="5A607007">
      <w:pPr>
        <w:pStyle w:val="44"/>
        <w:spacing w:before="156" w:after="156"/>
        <w:ind w:firstLine="420"/>
        <w:rPr>
          <w:rFonts w:cs="Times New Roman"/>
        </w:rPr>
      </w:pPr>
    </w:p>
    <w:p w14:paraId="28CD259B">
      <w:pPr>
        <w:pStyle w:val="44"/>
        <w:spacing w:before="156" w:after="156"/>
        <w:ind w:firstLine="420"/>
        <w:rPr>
          <w:rFonts w:cs="Times New Roman"/>
        </w:rPr>
      </w:pPr>
    </w:p>
    <w:p w14:paraId="7EFECCFF">
      <w:pPr>
        <w:pStyle w:val="44"/>
        <w:spacing w:before="156" w:after="156"/>
        <w:ind w:firstLine="420"/>
        <w:rPr>
          <w:rFonts w:cs="Times New Roman"/>
        </w:rPr>
      </w:pPr>
    </w:p>
    <w:p w14:paraId="61202B54">
      <w:pPr>
        <w:pStyle w:val="44"/>
        <w:spacing w:before="156" w:after="156"/>
        <w:ind w:firstLine="420"/>
        <w:rPr>
          <w:rFonts w:cs="Times New Roman"/>
        </w:rPr>
      </w:pPr>
    </w:p>
    <w:p w14:paraId="1A5D194D">
      <w:pPr>
        <w:widowControl/>
        <w:adjustRightInd/>
        <w:spacing w:line="240" w:lineRule="auto"/>
        <w:jc w:val="left"/>
        <w:rPr>
          <w:rFonts w:ascii="Times New Roman" w:hAnsi="Times New Roman" w:cs="Times New Roman"/>
        </w:rPr>
      </w:pPr>
      <w:r>
        <w:rPr>
          <w:rFonts w:ascii="Times New Roman" w:hAnsi="Times New Roman" w:cs="Times New Roman"/>
        </w:rPr>
        <w:br w:type="page"/>
      </w:r>
    </w:p>
    <w:p w14:paraId="251F3E18">
      <w:pPr>
        <w:pStyle w:val="90"/>
        <w:numPr>
          <w:ilvl w:val="0"/>
          <w:numId w:val="0"/>
        </w:numPr>
        <w:rPr>
          <w:rFonts w:ascii="Times New Roman"/>
        </w:rPr>
      </w:pPr>
      <w:bookmarkStart w:id="44" w:name="_Toc130762927"/>
      <w:r>
        <w:rPr>
          <w:rFonts w:hint="eastAsia" w:ascii="Times New Roman"/>
        </w:rPr>
        <w:t>附</w:t>
      </w:r>
      <w:r>
        <w:rPr>
          <w:rFonts w:ascii="Times New Roman"/>
        </w:rPr>
        <w:t xml:space="preserve"> </w:t>
      </w:r>
      <w:r>
        <w:rPr>
          <w:rFonts w:hint="eastAsia" w:ascii="Times New Roman"/>
        </w:rPr>
        <w:t>录</w:t>
      </w:r>
      <w:r>
        <w:rPr>
          <w:rFonts w:ascii="Times New Roman"/>
        </w:rPr>
        <w:t xml:space="preserve"> B</w:t>
      </w:r>
      <w:r>
        <w:rPr>
          <w:rFonts w:ascii="Times New Roman"/>
        </w:rPr>
        <w:br w:type="textWrapping"/>
      </w:r>
      <w:r>
        <w:rPr>
          <w:rFonts w:hint="eastAsia" w:ascii="Times New Roman"/>
        </w:rPr>
        <w:t>（资料性附录）</w:t>
      </w:r>
      <w:r>
        <w:rPr>
          <w:rFonts w:ascii="Times New Roman"/>
        </w:rPr>
        <w:br w:type="textWrapping"/>
      </w:r>
      <w:r>
        <w:rPr>
          <w:rFonts w:hint="eastAsia" w:ascii="Times New Roman"/>
        </w:rPr>
        <w:t>预先危险性分析法</w:t>
      </w:r>
      <w:bookmarkEnd w:id="44"/>
    </w:p>
    <w:p w14:paraId="17001C78">
      <w:pPr>
        <w:pStyle w:val="107"/>
        <w:spacing w:before="156" w:after="156"/>
        <w:rPr>
          <w:rFonts w:cs="Times New Roman"/>
        </w:rPr>
      </w:pPr>
      <w:bookmarkStart w:id="45" w:name="_Toc130762934"/>
      <w:bookmarkStart w:id="46" w:name="_Toc3033"/>
      <w:r>
        <w:rPr>
          <w:rFonts w:hint="eastAsia" w:cs="Times New Roman"/>
        </w:rPr>
        <w:t>表</w:t>
      </w:r>
      <w:r>
        <w:rPr>
          <w:rFonts w:cs="Times New Roman"/>
        </w:rPr>
        <w:t xml:space="preserve">B.1 </w:t>
      </w:r>
      <w:r>
        <w:rPr>
          <w:rFonts w:hint="eastAsia" w:cs="Times New Roman"/>
        </w:rPr>
        <w:t>预先危险性分析表</w:t>
      </w:r>
      <w:bookmarkEnd w:id="45"/>
      <w:r>
        <w:rPr>
          <w:rFonts w:hint="eastAsia" w:cs="Times New Roman"/>
        </w:rPr>
        <w:t>示例</w:t>
      </w:r>
      <w:bookmarkEnd w:id="46"/>
    </w:p>
    <w:tbl>
      <w:tblPr>
        <w:tblStyle w:val="22"/>
        <w:tblW w:w="8873" w:type="dxa"/>
        <w:jc w:val="center"/>
        <w:tblLayout w:type="autofit"/>
        <w:tblCellMar>
          <w:top w:w="0" w:type="dxa"/>
          <w:left w:w="0" w:type="dxa"/>
          <w:bottom w:w="0" w:type="dxa"/>
          <w:right w:w="0" w:type="dxa"/>
        </w:tblCellMar>
      </w:tblPr>
      <w:tblGrid>
        <w:gridCol w:w="895"/>
        <w:gridCol w:w="1275"/>
        <w:gridCol w:w="2127"/>
        <w:gridCol w:w="1384"/>
        <w:gridCol w:w="1596"/>
        <w:gridCol w:w="1596"/>
      </w:tblGrid>
      <w:tr w14:paraId="0B19C6A8">
        <w:tblPrEx>
          <w:tblCellMar>
            <w:top w:w="0" w:type="dxa"/>
            <w:left w:w="0" w:type="dxa"/>
            <w:bottom w:w="0" w:type="dxa"/>
            <w:right w:w="0" w:type="dxa"/>
          </w:tblCellMar>
        </w:tblPrEx>
        <w:trPr>
          <w:trHeight w:val="584" w:hRule="atLeast"/>
          <w:jc w:val="center"/>
        </w:trPr>
        <w:tc>
          <w:tcPr>
            <w:tcW w:w="895" w:type="dxa"/>
            <w:tcBorders>
              <w:top w:val="single" w:color="auto" w:sz="12" w:space="0"/>
              <w:left w:val="single" w:color="auto" w:sz="12" w:space="0"/>
              <w:bottom w:val="single" w:color="auto" w:sz="12" w:space="0"/>
              <w:right w:val="single" w:color="000000" w:sz="8" w:space="0"/>
            </w:tcBorders>
            <w:shd w:val="clear" w:color="auto" w:fill="auto"/>
            <w:tcMar>
              <w:top w:w="72" w:type="dxa"/>
              <w:left w:w="144" w:type="dxa"/>
              <w:bottom w:w="72" w:type="dxa"/>
              <w:right w:w="144" w:type="dxa"/>
            </w:tcMar>
            <w:vAlign w:val="center"/>
          </w:tcPr>
          <w:p w14:paraId="2594F853">
            <w:pPr>
              <w:pStyle w:val="44"/>
              <w:spacing w:before="156" w:after="156"/>
              <w:ind w:firstLine="0" w:firstLineChars="0"/>
              <w:jc w:val="center"/>
              <w:rPr>
                <w:rFonts w:cs="Times New Roman"/>
              </w:rPr>
            </w:pPr>
            <w:r>
              <w:rPr>
                <w:rFonts w:cs="Times New Roman"/>
              </w:rPr>
              <w:t>序号</w:t>
            </w:r>
          </w:p>
        </w:tc>
        <w:tc>
          <w:tcPr>
            <w:tcW w:w="1275"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40DCB717">
            <w:pPr>
              <w:pStyle w:val="44"/>
              <w:spacing w:before="156" w:after="156"/>
              <w:ind w:firstLine="0" w:firstLineChars="0"/>
              <w:jc w:val="center"/>
              <w:rPr>
                <w:rFonts w:cs="Times New Roman"/>
              </w:rPr>
            </w:pPr>
            <w:r>
              <w:rPr>
                <w:rFonts w:hint="eastAsia" w:cs="Times New Roman"/>
              </w:rPr>
              <w:t>设备场所</w:t>
            </w:r>
          </w:p>
        </w:tc>
        <w:tc>
          <w:tcPr>
            <w:tcW w:w="2127"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3C896CC5">
            <w:pPr>
              <w:pStyle w:val="44"/>
              <w:spacing w:before="156" w:after="156"/>
              <w:ind w:firstLine="0" w:firstLineChars="0"/>
              <w:jc w:val="center"/>
              <w:rPr>
                <w:rFonts w:cs="Times New Roman"/>
              </w:rPr>
            </w:pPr>
            <w:r>
              <w:rPr>
                <w:rFonts w:hint="eastAsia" w:cs="Times New Roman"/>
              </w:rPr>
              <w:t>危害因素</w:t>
            </w:r>
          </w:p>
        </w:tc>
        <w:tc>
          <w:tcPr>
            <w:tcW w:w="1384"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0241D7A6">
            <w:pPr>
              <w:pStyle w:val="44"/>
              <w:spacing w:before="156" w:after="156"/>
              <w:ind w:firstLine="0" w:firstLineChars="0"/>
              <w:jc w:val="center"/>
              <w:rPr>
                <w:rFonts w:cs="Times New Roman"/>
              </w:rPr>
            </w:pPr>
            <w:r>
              <w:rPr>
                <w:rFonts w:hint="eastAsia" w:cs="Times New Roman"/>
              </w:rPr>
              <w:t>潜在事故</w:t>
            </w:r>
          </w:p>
        </w:tc>
        <w:tc>
          <w:tcPr>
            <w:tcW w:w="1596" w:type="dxa"/>
            <w:tcBorders>
              <w:top w:val="single" w:color="auto" w:sz="12"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39C47CEB">
            <w:pPr>
              <w:pStyle w:val="44"/>
              <w:spacing w:before="156" w:after="156"/>
              <w:ind w:firstLine="0" w:firstLineChars="0"/>
              <w:jc w:val="center"/>
              <w:rPr>
                <w:rFonts w:cs="Times New Roman"/>
              </w:rPr>
            </w:pPr>
            <w:r>
              <w:rPr>
                <w:rFonts w:hint="eastAsia" w:cs="Times New Roman"/>
              </w:rPr>
              <w:t>是否可控</w:t>
            </w:r>
          </w:p>
        </w:tc>
        <w:tc>
          <w:tcPr>
            <w:tcW w:w="1596" w:type="dxa"/>
            <w:tcBorders>
              <w:top w:val="single" w:color="auto" w:sz="12" w:space="0"/>
              <w:left w:val="single" w:color="000000" w:sz="8" w:space="0"/>
              <w:bottom w:val="single" w:color="auto" w:sz="12" w:space="0"/>
              <w:right w:val="single" w:color="auto" w:sz="12" w:space="0"/>
            </w:tcBorders>
            <w:vAlign w:val="center"/>
          </w:tcPr>
          <w:p w14:paraId="31EE09D0">
            <w:pPr>
              <w:pStyle w:val="44"/>
              <w:spacing w:before="156" w:after="156"/>
              <w:ind w:firstLine="0" w:firstLineChars="0"/>
              <w:jc w:val="center"/>
              <w:rPr>
                <w:rFonts w:cs="Times New Roman"/>
              </w:rPr>
            </w:pPr>
            <w:r>
              <w:rPr>
                <w:rFonts w:hint="eastAsia" w:cs="Times New Roman"/>
              </w:rPr>
              <w:t>危险等级</w:t>
            </w:r>
          </w:p>
        </w:tc>
      </w:tr>
      <w:tr w14:paraId="5F9702FD">
        <w:tblPrEx>
          <w:tblCellMar>
            <w:top w:w="0" w:type="dxa"/>
            <w:left w:w="0" w:type="dxa"/>
            <w:bottom w:w="0" w:type="dxa"/>
            <w:right w:w="0" w:type="dxa"/>
          </w:tblCellMar>
        </w:tblPrEx>
        <w:trPr>
          <w:trHeight w:val="584" w:hRule="atLeast"/>
          <w:jc w:val="center"/>
        </w:trPr>
        <w:tc>
          <w:tcPr>
            <w:tcW w:w="895" w:type="dxa"/>
            <w:tcBorders>
              <w:top w:val="single" w:color="auto" w:sz="12" w:space="0"/>
              <w:left w:val="single" w:color="auto" w:sz="12"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BD4AD09">
            <w:pPr>
              <w:pStyle w:val="44"/>
              <w:spacing w:before="156" w:after="156"/>
              <w:ind w:firstLine="0" w:firstLineChars="0"/>
              <w:jc w:val="center"/>
              <w:rPr>
                <w:rFonts w:cs="Times New Roman"/>
              </w:rPr>
            </w:pPr>
            <w:r>
              <w:rPr>
                <w:rFonts w:hint="eastAsia" w:cs="Times New Roman"/>
              </w:rPr>
              <w:t>1</w:t>
            </w:r>
          </w:p>
        </w:tc>
        <w:tc>
          <w:tcPr>
            <w:tcW w:w="1275"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9AC8017">
            <w:pPr>
              <w:pStyle w:val="44"/>
              <w:spacing w:before="156" w:after="156"/>
              <w:ind w:firstLine="0" w:firstLineChars="0"/>
              <w:jc w:val="center"/>
              <w:rPr>
                <w:rFonts w:cs="Times New Roman"/>
              </w:rPr>
            </w:pPr>
            <w:r>
              <w:rPr>
                <w:rFonts w:hint="eastAsia" w:cs="Times New Roman"/>
              </w:rPr>
              <w:t>储能电箱</w:t>
            </w:r>
          </w:p>
        </w:tc>
        <w:tc>
          <w:tcPr>
            <w:tcW w:w="2127"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521941B">
            <w:pPr>
              <w:pStyle w:val="44"/>
              <w:spacing w:before="156" w:after="156"/>
              <w:ind w:firstLine="0" w:firstLineChars="0"/>
              <w:jc w:val="center"/>
              <w:rPr>
                <w:rFonts w:cs="Times New Roman"/>
              </w:rPr>
            </w:pPr>
            <w:r>
              <w:rPr>
                <w:rFonts w:hint="eastAsia" w:cs="Times New Roman"/>
              </w:rPr>
              <w:t>电池簇温度过高</w:t>
            </w:r>
          </w:p>
        </w:tc>
        <w:tc>
          <w:tcPr>
            <w:tcW w:w="1384"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36A730E">
            <w:pPr>
              <w:pStyle w:val="44"/>
              <w:spacing w:before="156" w:after="156"/>
              <w:ind w:firstLine="0" w:firstLineChars="0"/>
              <w:jc w:val="center"/>
              <w:rPr>
                <w:rFonts w:cs="Times New Roman"/>
              </w:rPr>
            </w:pPr>
            <w:r>
              <w:rPr>
                <w:rFonts w:hint="eastAsia" w:cs="Times New Roman"/>
              </w:rPr>
              <w:t>热失控起火</w:t>
            </w:r>
          </w:p>
        </w:tc>
        <w:tc>
          <w:tcPr>
            <w:tcW w:w="1596" w:type="dxa"/>
            <w:tcBorders>
              <w:top w:val="single" w:color="auto" w:sz="12"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E79CC11">
            <w:pPr>
              <w:pStyle w:val="44"/>
              <w:spacing w:before="156" w:after="156"/>
              <w:ind w:firstLine="0" w:firstLineChars="0"/>
              <w:jc w:val="center"/>
              <w:rPr>
                <w:rFonts w:cs="Times New Roman"/>
              </w:rPr>
            </w:pPr>
            <w:r>
              <w:rPr>
                <w:rFonts w:hint="eastAsia" w:cs="Times New Roman"/>
              </w:rPr>
              <w:t>是</w:t>
            </w:r>
          </w:p>
        </w:tc>
        <w:tc>
          <w:tcPr>
            <w:tcW w:w="1596" w:type="dxa"/>
            <w:tcBorders>
              <w:top w:val="single" w:color="auto" w:sz="12" w:space="0"/>
              <w:left w:val="single" w:color="000000" w:sz="8" w:space="0"/>
              <w:bottom w:val="single" w:color="000000" w:sz="8" w:space="0"/>
              <w:right w:val="single" w:color="auto" w:sz="12" w:space="0"/>
            </w:tcBorders>
            <w:vAlign w:val="center"/>
          </w:tcPr>
          <w:p w14:paraId="5F03EE39">
            <w:pPr>
              <w:pStyle w:val="44"/>
              <w:spacing w:before="156" w:after="156"/>
              <w:ind w:firstLine="0" w:firstLineChars="0"/>
              <w:jc w:val="center"/>
              <w:rPr>
                <w:rFonts w:cs="Times New Roman"/>
              </w:rPr>
            </w:pPr>
            <w:r>
              <w:t>Ⅱ</w:t>
            </w:r>
          </w:p>
        </w:tc>
      </w:tr>
      <w:tr w14:paraId="49E5C6F9">
        <w:tblPrEx>
          <w:tblCellMar>
            <w:top w:w="0" w:type="dxa"/>
            <w:left w:w="0" w:type="dxa"/>
            <w:bottom w:w="0" w:type="dxa"/>
            <w:right w:w="0" w:type="dxa"/>
          </w:tblCellMar>
        </w:tblPrEx>
        <w:trPr>
          <w:trHeight w:val="584" w:hRule="atLeast"/>
          <w:jc w:val="center"/>
        </w:trPr>
        <w:tc>
          <w:tcPr>
            <w:tcW w:w="895" w:type="dxa"/>
            <w:tcBorders>
              <w:top w:val="single" w:color="000000" w:sz="8" w:space="0"/>
              <w:left w:val="single" w:color="auto" w:sz="12"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4C76A71">
            <w:pPr>
              <w:pStyle w:val="44"/>
              <w:spacing w:before="156" w:after="156"/>
              <w:ind w:firstLine="0" w:firstLineChars="0"/>
              <w:jc w:val="center"/>
              <w:rPr>
                <w:rFonts w:cs="Times New Roman"/>
              </w:rPr>
            </w:pPr>
          </w:p>
        </w:tc>
        <w:tc>
          <w:tcPr>
            <w:tcW w:w="127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2225B63">
            <w:pPr>
              <w:pStyle w:val="44"/>
              <w:spacing w:before="156" w:after="156"/>
              <w:ind w:firstLine="0" w:firstLineChars="0"/>
              <w:jc w:val="center"/>
              <w:rPr>
                <w:rFonts w:cs="Times New Roman"/>
              </w:rPr>
            </w:pPr>
          </w:p>
        </w:tc>
        <w:tc>
          <w:tcPr>
            <w:tcW w:w="212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270FBFE">
            <w:pPr>
              <w:pStyle w:val="44"/>
              <w:spacing w:before="156" w:after="156"/>
              <w:ind w:firstLine="0" w:firstLineChars="0"/>
              <w:jc w:val="center"/>
              <w:rPr>
                <w:rFonts w:cs="Times New Roman"/>
              </w:rPr>
            </w:pPr>
          </w:p>
        </w:tc>
        <w:tc>
          <w:tcPr>
            <w:tcW w:w="138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828A69F">
            <w:pPr>
              <w:pStyle w:val="44"/>
              <w:spacing w:before="156" w:after="156"/>
              <w:ind w:firstLine="0" w:firstLineChars="0"/>
              <w:jc w:val="center"/>
              <w:rPr>
                <w:rFonts w:cs="Times New Roman"/>
              </w:rPr>
            </w:pPr>
          </w:p>
        </w:tc>
        <w:tc>
          <w:tcPr>
            <w:tcW w:w="1596"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52DD026">
            <w:pPr>
              <w:pStyle w:val="44"/>
              <w:spacing w:before="156" w:after="156"/>
              <w:ind w:firstLine="0" w:firstLineChars="0"/>
              <w:jc w:val="center"/>
              <w:rPr>
                <w:rFonts w:cs="Times New Roman"/>
              </w:rPr>
            </w:pPr>
          </w:p>
        </w:tc>
        <w:tc>
          <w:tcPr>
            <w:tcW w:w="1596" w:type="dxa"/>
            <w:tcBorders>
              <w:top w:val="single" w:color="000000" w:sz="8" w:space="0"/>
              <w:left w:val="single" w:color="000000" w:sz="8" w:space="0"/>
              <w:bottom w:val="single" w:color="000000" w:sz="8" w:space="0"/>
              <w:right w:val="single" w:color="auto" w:sz="12" w:space="0"/>
            </w:tcBorders>
            <w:vAlign w:val="center"/>
          </w:tcPr>
          <w:p w14:paraId="3844EA8C">
            <w:pPr>
              <w:pStyle w:val="44"/>
              <w:spacing w:before="156" w:after="156"/>
              <w:ind w:firstLine="0" w:firstLineChars="0"/>
              <w:jc w:val="center"/>
              <w:rPr>
                <w:rFonts w:cs="Times New Roman"/>
              </w:rPr>
            </w:pPr>
          </w:p>
        </w:tc>
      </w:tr>
      <w:tr w14:paraId="03FD3FCD">
        <w:tblPrEx>
          <w:tblCellMar>
            <w:top w:w="0" w:type="dxa"/>
            <w:left w:w="0" w:type="dxa"/>
            <w:bottom w:w="0" w:type="dxa"/>
            <w:right w:w="0" w:type="dxa"/>
          </w:tblCellMar>
        </w:tblPrEx>
        <w:trPr>
          <w:trHeight w:val="584" w:hRule="atLeast"/>
          <w:jc w:val="center"/>
        </w:trPr>
        <w:tc>
          <w:tcPr>
            <w:tcW w:w="895" w:type="dxa"/>
            <w:tcBorders>
              <w:top w:val="single" w:color="000000" w:sz="8" w:space="0"/>
              <w:left w:val="single" w:color="auto" w:sz="12" w:space="0"/>
              <w:bottom w:val="single" w:color="auto" w:sz="12" w:space="0"/>
              <w:right w:val="single" w:color="000000" w:sz="8" w:space="0"/>
            </w:tcBorders>
            <w:shd w:val="clear" w:color="auto" w:fill="auto"/>
            <w:tcMar>
              <w:top w:w="72" w:type="dxa"/>
              <w:left w:w="144" w:type="dxa"/>
              <w:bottom w:w="72" w:type="dxa"/>
              <w:right w:w="144" w:type="dxa"/>
            </w:tcMar>
            <w:vAlign w:val="center"/>
          </w:tcPr>
          <w:p w14:paraId="4613CD9B">
            <w:pPr>
              <w:pStyle w:val="44"/>
              <w:spacing w:before="156" w:after="156"/>
              <w:ind w:firstLine="0" w:firstLineChars="0"/>
              <w:jc w:val="center"/>
              <w:rPr>
                <w:rFonts w:cs="Times New Roman"/>
              </w:rPr>
            </w:pPr>
          </w:p>
        </w:tc>
        <w:tc>
          <w:tcPr>
            <w:tcW w:w="1275"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6D13BFA4">
            <w:pPr>
              <w:pStyle w:val="44"/>
              <w:spacing w:before="156" w:after="156"/>
              <w:ind w:firstLine="0" w:firstLineChars="0"/>
              <w:jc w:val="center"/>
              <w:rPr>
                <w:rFonts w:cs="Times New Roman"/>
              </w:rPr>
            </w:pPr>
          </w:p>
        </w:tc>
        <w:tc>
          <w:tcPr>
            <w:tcW w:w="2127"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039B7BEE">
            <w:pPr>
              <w:pStyle w:val="44"/>
              <w:spacing w:before="156" w:after="156"/>
              <w:ind w:firstLine="0" w:firstLineChars="0"/>
              <w:jc w:val="center"/>
              <w:rPr>
                <w:rFonts w:cs="Times New Roman"/>
              </w:rPr>
            </w:pPr>
          </w:p>
        </w:tc>
        <w:tc>
          <w:tcPr>
            <w:tcW w:w="1384"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11B9FA6B">
            <w:pPr>
              <w:pStyle w:val="44"/>
              <w:spacing w:before="156" w:after="156"/>
              <w:ind w:firstLine="0" w:firstLineChars="0"/>
              <w:jc w:val="center"/>
              <w:rPr>
                <w:rFonts w:cs="Times New Roman"/>
              </w:rPr>
            </w:pPr>
          </w:p>
        </w:tc>
        <w:tc>
          <w:tcPr>
            <w:tcW w:w="1596" w:type="dxa"/>
            <w:tcBorders>
              <w:top w:val="single" w:color="000000" w:sz="8" w:space="0"/>
              <w:left w:val="single" w:color="000000" w:sz="8" w:space="0"/>
              <w:bottom w:val="single" w:color="auto" w:sz="12" w:space="0"/>
              <w:right w:val="single" w:color="000000" w:sz="8" w:space="0"/>
            </w:tcBorders>
            <w:shd w:val="clear" w:color="auto" w:fill="auto"/>
            <w:tcMar>
              <w:top w:w="72" w:type="dxa"/>
              <w:left w:w="144" w:type="dxa"/>
              <w:bottom w:w="72" w:type="dxa"/>
              <w:right w:w="144" w:type="dxa"/>
            </w:tcMar>
            <w:vAlign w:val="center"/>
          </w:tcPr>
          <w:p w14:paraId="53CE327F">
            <w:pPr>
              <w:pStyle w:val="44"/>
              <w:spacing w:before="156" w:after="156"/>
              <w:ind w:firstLine="0" w:firstLineChars="0"/>
              <w:jc w:val="center"/>
              <w:rPr>
                <w:rFonts w:cs="Times New Roman"/>
              </w:rPr>
            </w:pPr>
          </w:p>
        </w:tc>
        <w:tc>
          <w:tcPr>
            <w:tcW w:w="1596" w:type="dxa"/>
            <w:tcBorders>
              <w:top w:val="single" w:color="000000" w:sz="8" w:space="0"/>
              <w:left w:val="single" w:color="000000" w:sz="8" w:space="0"/>
              <w:bottom w:val="single" w:color="auto" w:sz="12" w:space="0"/>
              <w:right w:val="single" w:color="auto" w:sz="12" w:space="0"/>
            </w:tcBorders>
            <w:vAlign w:val="center"/>
          </w:tcPr>
          <w:p w14:paraId="563D6A18">
            <w:pPr>
              <w:pStyle w:val="44"/>
              <w:spacing w:before="156" w:after="156"/>
              <w:ind w:firstLine="0" w:firstLineChars="0"/>
              <w:jc w:val="center"/>
              <w:rPr>
                <w:rFonts w:cs="Times New Roman"/>
              </w:rPr>
            </w:pPr>
          </w:p>
        </w:tc>
      </w:tr>
    </w:tbl>
    <w:p w14:paraId="370CF687">
      <w:pPr>
        <w:pStyle w:val="44"/>
        <w:spacing w:before="156" w:after="156"/>
        <w:ind w:firstLine="420"/>
        <w:rPr>
          <w:rFonts w:cs="Times New Roman"/>
        </w:rPr>
      </w:pPr>
    </w:p>
    <w:p w14:paraId="675D1DAF">
      <w:pPr>
        <w:pStyle w:val="44"/>
        <w:spacing w:before="156" w:after="156"/>
        <w:ind w:firstLine="420"/>
        <w:rPr>
          <w:rFonts w:cs="Times New Roman"/>
        </w:rPr>
      </w:pPr>
    </w:p>
    <w:p w14:paraId="27D4C366">
      <w:pPr>
        <w:pStyle w:val="44"/>
        <w:spacing w:before="156" w:after="156"/>
        <w:ind w:firstLine="420"/>
        <w:rPr>
          <w:rFonts w:cs="Times New Roman"/>
        </w:rPr>
        <w:sectPr>
          <w:pgSz w:w="11906" w:h="16838"/>
          <w:pgMar w:top="1418" w:right="1418" w:bottom="1134" w:left="1418" w:header="1417" w:footer="1134" w:gutter="0"/>
          <w:cols w:space="425" w:num="1"/>
          <w:titlePg/>
          <w:docGrid w:type="lines" w:linePitch="312" w:charSpace="0"/>
        </w:sectPr>
      </w:pPr>
    </w:p>
    <w:p w14:paraId="3F07F42D">
      <w:pPr>
        <w:pStyle w:val="90"/>
        <w:numPr>
          <w:ilvl w:val="0"/>
          <w:numId w:val="0"/>
        </w:numPr>
        <w:rPr>
          <w:rFonts w:ascii="Times New Roman"/>
        </w:rPr>
      </w:pPr>
      <w:bookmarkStart w:id="47" w:name="_Toc130762928"/>
      <w:r>
        <w:rPr>
          <w:rFonts w:hint="eastAsia" w:ascii="Times New Roman"/>
        </w:rPr>
        <w:t>附</w:t>
      </w:r>
      <w:r>
        <w:rPr>
          <w:rFonts w:ascii="Times New Roman"/>
        </w:rPr>
        <w:t xml:space="preserve"> </w:t>
      </w:r>
      <w:r>
        <w:rPr>
          <w:rFonts w:hint="eastAsia" w:ascii="Times New Roman"/>
        </w:rPr>
        <w:t>录</w:t>
      </w:r>
      <w:r>
        <w:rPr>
          <w:rFonts w:ascii="Times New Roman"/>
        </w:rPr>
        <w:t xml:space="preserve"> C</w:t>
      </w:r>
      <w:r>
        <w:rPr>
          <w:rFonts w:ascii="Times New Roman"/>
        </w:rPr>
        <w:br w:type="textWrapping"/>
      </w:r>
      <w:r>
        <w:rPr>
          <w:rFonts w:hint="eastAsia" w:ascii="Times New Roman"/>
        </w:rPr>
        <w:t>（资料性附录）</w:t>
      </w:r>
      <w:r>
        <w:rPr>
          <w:rFonts w:ascii="Times New Roman"/>
        </w:rPr>
        <w:br w:type="textWrapping"/>
      </w:r>
      <w:r>
        <w:rPr>
          <w:rFonts w:hint="eastAsia" w:ascii="Times New Roman"/>
        </w:rPr>
        <w:t>作业条件危险性评价法</w:t>
      </w:r>
      <w:bookmarkEnd w:id="47"/>
    </w:p>
    <w:p w14:paraId="01546151">
      <w:pPr>
        <w:pStyle w:val="107"/>
        <w:spacing w:before="156" w:after="156"/>
        <w:rPr>
          <w:rFonts w:cs="Times New Roman"/>
        </w:rPr>
      </w:pPr>
      <w:bookmarkStart w:id="48" w:name="_Toc130762935"/>
      <w:bookmarkStart w:id="49" w:name="_Toc23470"/>
      <w:r>
        <w:rPr>
          <w:rFonts w:hint="eastAsia" w:cs="Times New Roman"/>
        </w:rPr>
        <w:t>表</w:t>
      </w:r>
      <w:r>
        <w:rPr>
          <w:rFonts w:cs="Times New Roman"/>
        </w:rPr>
        <w:t xml:space="preserve">C.1 </w:t>
      </w:r>
      <w:r>
        <w:rPr>
          <w:rFonts w:hint="eastAsia" w:cs="Times New Roman"/>
        </w:rPr>
        <w:t>事故发生可能性大小</w:t>
      </w:r>
      <w:r>
        <w:rPr>
          <w:rFonts w:cs="Times New Roman"/>
        </w:rPr>
        <w:t>L</w:t>
      </w:r>
      <w:bookmarkEnd w:id="48"/>
      <w:bookmarkEnd w:id="49"/>
    </w:p>
    <w:tbl>
      <w:tblPr>
        <w:tblStyle w:val="22"/>
        <w:tblW w:w="5340" w:type="dxa"/>
        <w:jc w:val="center"/>
        <w:tblLayout w:type="autofit"/>
        <w:tblCellMar>
          <w:top w:w="0" w:type="dxa"/>
          <w:left w:w="0" w:type="dxa"/>
          <w:bottom w:w="0" w:type="dxa"/>
          <w:right w:w="0" w:type="dxa"/>
        </w:tblCellMar>
      </w:tblPr>
      <w:tblGrid>
        <w:gridCol w:w="1820"/>
        <w:gridCol w:w="3520"/>
      </w:tblGrid>
      <w:tr w14:paraId="7C6D7883">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75705A4">
            <w:pPr>
              <w:widowControl/>
              <w:adjustRightInd/>
              <w:spacing w:line="240" w:lineRule="auto"/>
              <w:jc w:val="left"/>
              <w:rPr>
                <w:rFonts w:ascii="Times New Roman" w:hAnsi="Times New Roman" w:cs="Times New Roman"/>
              </w:rPr>
            </w:pPr>
            <w:r>
              <w:rPr>
                <w:rFonts w:ascii="Times New Roman" w:hAnsi="Times New Roman" w:cs="Times New Roman"/>
              </w:rPr>
              <w:t>L</w:t>
            </w:r>
            <w:r>
              <w:rPr>
                <w:rFonts w:hint="eastAsia" w:ascii="Times New Roman" w:hAnsi="Times New Roman" w:cs="Times New Roman"/>
              </w:rPr>
              <w:t>值</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10504D1">
            <w:pPr>
              <w:widowControl/>
              <w:adjustRightInd/>
              <w:spacing w:line="240" w:lineRule="auto"/>
              <w:jc w:val="left"/>
              <w:rPr>
                <w:rFonts w:ascii="Times New Roman" w:hAnsi="Times New Roman" w:cs="Times New Roman"/>
              </w:rPr>
            </w:pPr>
            <w:r>
              <w:rPr>
                <w:rFonts w:hint="eastAsia" w:ascii="Times New Roman" w:hAnsi="Times New Roman" w:cs="Times New Roman"/>
              </w:rPr>
              <w:t>发生概率</w:t>
            </w:r>
          </w:p>
        </w:tc>
      </w:tr>
      <w:tr w14:paraId="1C38AA47">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A9DA369">
            <w:pPr>
              <w:widowControl/>
              <w:adjustRightInd/>
              <w:spacing w:line="240" w:lineRule="auto"/>
              <w:jc w:val="left"/>
              <w:rPr>
                <w:rFonts w:ascii="Times New Roman" w:hAnsi="Times New Roman" w:cs="Times New Roman"/>
              </w:rPr>
            </w:pPr>
            <w:r>
              <w:rPr>
                <w:rFonts w:ascii="Times New Roman" w:hAnsi="Times New Roman" w:cs="Times New Roman"/>
              </w:rPr>
              <w:t>10</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C39B9A9">
            <w:pPr>
              <w:widowControl/>
              <w:adjustRightInd/>
              <w:spacing w:line="240" w:lineRule="auto"/>
              <w:jc w:val="left"/>
              <w:rPr>
                <w:rFonts w:ascii="Times New Roman" w:hAnsi="Times New Roman" w:cs="Times New Roman"/>
              </w:rPr>
            </w:pPr>
            <w:r>
              <w:rPr>
                <w:rFonts w:hint="eastAsia" w:ascii="Times New Roman" w:hAnsi="Times New Roman" w:cs="Times New Roman"/>
              </w:rPr>
              <w:t>完全可以预料</w:t>
            </w:r>
          </w:p>
        </w:tc>
      </w:tr>
      <w:tr w14:paraId="4B9C0BEA">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2294349">
            <w:pPr>
              <w:widowControl/>
              <w:adjustRightInd/>
              <w:spacing w:line="240" w:lineRule="auto"/>
              <w:jc w:val="left"/>
              <w:rPr>
                <w:rFonts w:ascii="Times New Roman" w:hAnsi="Times New Roman" w:cs="Times New Roman"/>
              </w:rPr>
            </w:pPr>
            <w:r>
              <w:rPr>
                <w:rFonts w:ascii="Times New Roman" w:hAnsi="Times New Roman" w:cs="Times New Roman"/>
              </w:rPr>
              <w:t>6</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A186421">
            <w:pPr>
              <w:widowControl/>
              <w:adjustRightInd/>
              <w:spacing w:line="240" w:lineRule="auto"/>
              <w:jc w:val="left"/>
              <w:rPr>
                <w:rFonts w:ascii="Times New Roman" w:hAnsi="Times New Roman" w:cs="Times New Roman"/>
              </w:rPr>
            </w:pPr>
            <w:r>
              <w:rPr>
                <w:rFonts w:hint="eastAsia" w:ascii="Times New Roman" w:hAnsi="Times New Roman" w:cs="Times New Roman"/>
              </w:rPr>
              <w:t>相当可能</w:t>
            </w:r>
          </w:p>
        </w:tc>
      </w:tr>
      <w:tr w14:paraId="65CCC511">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1627A43">
            <w:pPr>
              <w:widowControl/>
              <w:adjustRightInd/>
              <w:spacing w:line="240" w:lineRule="auto"/>
              <w:jc w:val="left"/>
              <w:rPr>
                <w:rFonts w:ascii="Times New Roman" w:hAnsi="Times New Roman" w:cs="Times New Roman"/>
              </w:rPr>
            </w:pPr>
            <w:r>
              <w:rPr>
                <w:rFonts w:ascii="Times New Roman" w:hAnsi="Times New Roman" w:cs="Times New Roman"/>
              </w:rPr>
              <w:t>3</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CAD65EE">
            <w:pPr>
              <w:widowControl/>
              <w:adjustRightInd/>
              <w:spacing w:line="240" w:lineRule="auto"/>
              <w:jc w:val="left"/>
              <w:rPr>
                <w:rFonts w:ascii="Times New Roman" w:hAnsi="Times New Roman" w:cs="Times New Roman"/>
              </w:rPr>
            </w:pPr>
            <w:r>
              <w:rPr>
                <w:rFonts w:hint="eastAsia" w:ascii="Times New Roman" w:hAnsi="Times New Roman" w:cs="Times New Roman"/>
              </w:rPr>
              <w:t>可能但不经常</w:t>
            </w:r>
          </w:p>
        </w:tc>
      </w:tr>
      <w:tr w14:paraId="68CB9FE1">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093B34B">
            <w:pPr>
              <w:widowControl/>
              <w:adjustRightInd/>
              <w:spacing w:line="240" w:lineRule="auto"/>
              <w:jc w:val="left"/>
              <w:rPr>
                <w:rFonts w:ascii="Times New Roman" w:hAnsi="Times New Roman" w:cs="Times New Roman"/>
              </w:rPr>
            </w:pPr>
            <w:r>
              <w:rPr>
                <w:rFonts w:ascii="Times New Roman" w:hAnsi="Times New Roman" w:cs="Times New Roman"/>
              </w:rPr>
              <w:t>1</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FF92F6F">
            <w:pPr>
              <w:widowControl/>
              <w:adjustRightInd/>
              <w:spacing w:line="240" w:lineRule="auto"/>
              <w:jc w:val="left"/>
              <w:rPr>
                <w:rFonts w:ascii="Times New Roman" w:hAnsi="Times New Roman" w:cs="Times New Roman"/>
              </w:rPr>
            </w:pPr>
            <w:r>
              <w:rPr>
                <w:rFonts w:hint="eastAsia" w:ascii="Times New Roman" w:hAnsi="Times New Roman" w:cs="Times New Roman"/>
              </w:rPr>
              <w:t>可能性小，可以设想</w:t>
            </w:r>
          </w:p>
        </w:tc>
      </w:tr>
      <w:tr w14:paraId="45442BB5">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E83893E">
            <w:pPr>
              <w:widowControl/>
              <w:adjustRightInd/>
              <w:spacing w:line="240" w:lineRule="auto"/>
              <w:jc w:val="left"/>
              <w:rPr>
                <w:rFonts w:ascii="Times New Roman" w:hAnsi="Times New Roman" w:cs="Times New Roman"/>
              </w:rPr>
            </w:pPr>
            <w:r>
              <w:rPr>
                <w:rFonts w:ascii="Times New Roman" w:hAnsi="Times New Roman" w:cs="Times New Roman"/>
              </w:rPr>
              <w:t>0.5</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34ABCCD">
            <w:pPr>
              <w:widowControl/>
              <w:adjustRightInd/>
              <w:spacing w:line="240" w:lineRule="auto"/>
              <w:jc w:val="left"/>
              <w:rPr>
                <w:rFonts w:ascii="Times New Roman" w:hAnsi="Times New Roman" w:cs="Times New Roman"/>
              </w:rPr>
            </w:pPr>
            <w:r>
              <w:rPr>
                <w:rFonts w:hint="eastAsia" w:ascii="Times New Roman" w:hAnsi="Times New Roman" w:cs="Times New Roman"/>
              </w:rPr>
              <w:t>很不可能，完全意外</w:t>
            </w:r>
          </w:p>
        </w:tc>
      </w:tr>
      <w:tr w14:paraId="5F988C3B">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5782AB3">
            <w:pPr>
              <w:widowControl/>
              <w:adjustRightInd/>
              <w:spacing w:line="240" w:lineRule="auto"/>
              <w:jc w:val="left"/>
              <w:rPr>
                <w:rFonts w:ascii="Times New Roman" w:hAnsi="Times New Roman" w:cs="Times New Roman"/>
              </w:rPr>
            </w:pPr>
            <w:r>
              <w:rPr>
                <w:rFonts w:ascii="Times New Roman" w:hAnsi="Times New Roman" w:cs="Times New Roman"/>
              </w:rPr>
              <w:t>0.2</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1684AD0">
            <w:pPr>
              <w:widowControl/>
              <w:adjustRightInd/>
              <w:spacing w:line="240" w:lineRule="auto"/>
              <w:jc w:val="left"/>
              <w:rPr>
                <w:rFonts w:ascii="Times New Roman" w:hAnsi="Times New Roman" w:cs="Times New Roman"/>
              </w:rPr>
            </w:pPr>
            <w:r>
              <w:rPr>
                <w:rFonts w:hint="eastAsia" w:ascii="Times New Roman" w:hAnsi="Times New Roman" w:cs="Times New Roman"/>
              </w:rPr>
              <w:t>极不可能</w:t>
            </w:r>
          </w:p>
        </w:tc>
      </w:tr>
      <w:tr w14:paraId="716D7F34">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E5AA4C0">
            <w:pPr>
              <w:widowControl/>
              <w:adjustRightInd/>
              <w:spacing w:line="240" w:lineRule="auto"/>
              <w:jc w:val="left"/>
              <w:rPr>
                <w:rFonts w:ascii="Times New Roman" w:hAnsi="Times New Roman" w:cs="Times New Roman"/>
              </w:rPr>
            </w:pPr>
            <w:r>
              <w:rPr>
                <w:rFonts w:ascii="Times New Roman" w:hAnsi="Times New Roman" w:cs="Times New Roman"/>
              </w:rPr>
              <w:t>0.1</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AF8AB9E">
            <w:pPr>
              <w:widowControl/>
              <w:adjustRightInd/>
              <w:spacing w:line="240" w:lineRule="auto"/>
              <w:jc w:val="left"/>
              <w:rPr>
                <w:rFonts w:ascii="Times New Roman" w:hAnsi="Times New Roman" w:cs="Times New Roman"/>
              </w:rPr>
            </w:pPr>
            <w:r>
              <w:rPr>
                <w:rFonts w:hint="eastAsia" w:ascii="Times New Roman" w:hAnsi="Times New Roman" w:cs="Times New Roman"/>
              </w:rPr>
              <w:t>实际不可能</w:t>
            </w:r>
          </w:p>
        </w:tc>
      </w:tr>
    </w:tbl>
    <w:p w14:paraId="42489087">
      <w:pPr>
        <w:widowControl/>
        <w:adjustRightInd/>
        <w:spacing w:line="240" w:lineRule="auto"/>
        <w:jc w:val="left"/>
        <w:rPr>
          <w:rFonts w:ascii="Times New Roman" w:hAnsi="Times New Roman" w:cs="Times New Roman"/>
        </w:rPr>
      </w:pPr>
    </w:p>
    <w:p w14:paraId="13A01FC5">
      <w:pPr>
        <w:pStyle w:val="107"/>
        <w:spacing w:before="156" w:after="156"/>
        <w:rPr>
          <w:rFonts w:cs="Times New Roman"/>
        </w:rPr>
      </w:pPr>
      <w:bookmarkStart w:id="50" w:name="_Toc130762936"/>
      <w:bookmarkStart w:id="51" w:name="_Toc23475"/>
      <w:r>
        <w:rPr>
          <w:rFonts w:hint="eastAsia" w:cs="Times New Roman"/>
        </w:rPr>
        <w:t>表</w:t>
      </w:r>
      <w:r>
        <w:rPr>
          <w:rFonts w:cs="Times New Roman"/>
        </w:rPr>
        <w:t xml:space="preserve">C.2 </w:t>
      </w:r>
      <w:r>
        <w:rPr>
          <w:rFonts w:hint="eastAsia" w:cs="Times New Roman"/>
        </w:rPr>
        <w:t>暴露于危险环境频率</w:t>
      </w:r>
      <w:r>
        <w:rPr>
          <w:rFonts w:cs="Times New Roman"/>
        </w:rPr>
        <w:t>E</w:t>
      </w:r>
      <w:bookmarkEnd w:id="50"/>
      <w:bookmarkEnd w:id="51"/>
    </w:p>
    <w:tbl>
      <w:tblPr>
        <w:tblStyle w:val="22"/>
        <w:tblW w:w="5340" w:type="dxa"/>
        <w:jc w:val="center"/>
        <w:tblLayout w:type="autofit"/>
        <w:tblCellMar>
          <w:top w:w="0" w:type="dxa"/>
          <w:left w:w="0" w:type="dxa"/>
          <w:bottom w:w="0" w:type="dxa"/>
          <w:right w:w="0" w:type="dxa"/>
        </w:tblCellMar>
      </w:tblPr>
      <w:tblGrid>
        <w:gridCol w:w="1820"/>
        <w:gridCol w:w="3520"/>
      </w:tblGrid>
      <w:tr w14:paraId="4AF8E769">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DBCE1A1">
            <w:pPr>
              <w:widowControl/>
              <w:adjustRightInd/>
              <w:spacing w:line="240" w:lineRule="auto"/>
              <w:jc w:val="left"/>
              <w:rPr>
                <w:rFonts w:ascii="Times New Roman" w:hAnsi="Times New Roman" w:cs="Times New Roman"/>
              </w:rPr>
            </w:pPr>
            <w:r>
              <w:rPr>
                <w:rFonts w:ascii="Times New Roman" w:hAnsi="Times New Roman" w:cs="Times New Roman"/>
              </w:rPr>
              <w:t>E</w:t>
            </w:r>
            <w:r>
              <w:rPr>
                <w:rFonts w:hint="eastAsia" w:ascii="Times New Roman" w:hAnsi="Times New Roman" w:cs="Times New Roman"/>
              </w:rPr>
              <w:t>值</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945D46E">
            <w:pPr>
              <w:widowControl/>
              <w:adjustRightInd/>
              <w:spacing w:line="240" w:lineRule="auto"/>
              <w:jc w:val="left"/>
              <w:rPr>
                <w:rFonts w:ascii="Times New Roman" w:hAnsi="Times New Roman" w:cs="Times New Roman"/>
              </w:rPr>
            </w:pPr>
            <w:r>
              <w:rPr>
                <w:rFonts w:hint="eastAsia" w:ascii="Times New Roman" w:hAnsi="Times New Roman" w:cs="Times New Roman"/>
              </w:rPr>
              <w:t>暴露于危险环境频率</w:t>
            </w:r>
          </w:p>
        </w:tc>
      </w:tr>
      <w:tr w14:paraId="612BB4E6">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08D732D">
            <w:pPr>
              <w:widowControl/>
              <w:adjustRightInd/>
              <w:spacing w:line="240" w:lineRule="auto"/>
              <w:jc w:val="left"/>
              <w:rPr>
                <w:rFonts w:ascii="Times New Roman" w:hAnsi="Times New Roman" w:cs="Times New Roman"/>
              </w:rPr>
            </w:pPr>
            <w:r>
              <w:rPr>
                <w:rFonts w:ascii="Times New Roman" w:hAnsi="Times New Roman" w:cs="Times New Roman"/>
              </w:rPr>
              <w:t>10</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6DAFB1E">
            <w:pPr>
              <w:widowControl/>
              <w:adjustRightInd/>
              <w:spacing w:line="240" w:lineRule="auto"/>
              <w:jc w:val="left"/>
              <w:rPr>
                <w:rFonts w:ascii="Times New Roman" w:hAnsi="Times New Roman" w:cs="Times New Roman"/>
              </w:rPr>
            </w:pPr>
            <w:r>
              <w:rPr>
                <w:rFonts w:hint="eastAsia" w:ascii="Times New Roman" w:hAnsi="Times New Roman" w:cs="Times New Roman"/>
              </w:rPr>
              <w:t>连续暴露</w:t>
            </w:r>
          </w:p>
        </w:tc>
      </w:tr>
      <w:tr w14:paraId="1582819F">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6282A85">
            <w:pPr>
              <w:widowControl/>
              <w:adjustRightInd/>
              <w:spacing w:line="240" w:lineRule="auto"/>
              <w:jc w:val="left"/>
              <w:rPr>
                <w:rFonts w:ascii="Times New Roman" w:hAnsi="Times New Roman" w:cs="Times New Roman"/>
              </w:rPr>
            </w:pPr>
            <w:r>
              <w:rPr>
                <w:rFonts w:ascii="Times New Roman" w:hAnsi="Times New Roman" w:cs="Times New Roman"/>
              </w:rPr>
              <w:t>6</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86707BF">
            <w:pPr>
              <w:widowControl/>
              <w:adjustRightInd/>
              <w:spacing w:line="240" w:lineRule="auto"/>
              <w:jc w:val="left"/>
              <w:rPr>
                <w:rFonts w:ascii="Times New Roman" w:hAnsi="Times New Roman" w:cs="Times New Roman"/>
              </w:rPr>
            </w:pPr>
            <w:r>
              <w:rPr>
                <w:rFonts w:hint="eastAsia" w:ascii="Times New Roman" w:hAnsi="Times New Roman" w:cs="Times New Roman"/>
              </w:rPr>
              <w:t>每天工作时间暴露</w:t>
            </w:r>
          </w:p>
        </w:tc>
      </w:tr>
      <w:tr w14:paraId="296DE8F8">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E30D2AC">
            <w:pPr>
              <w:widowControl/>
              <w:adjustRightInd/>
              <w:spacing w:line="240" w:lineRule="auto"/>
              <w:jc w:val="left"/>
              <w:rPr>
                <w:rFonts w:ascii="Times New Roman" w:hAnsi="Times New Roman" w:cs="Times New Roman"/>
              </w:rPr>
            </w:pPr>
            <w:r>
              <w:rPr>
                <w:rFonts w:ascii="Times New Roman" w:hAnsi="Times New Roman" w:cs="Times New Roman"/>
              </w:rPr>
              <w:t>3</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35227ED">
            <w:pPr>
              <w:widowControl/>
              <w:adjustRightInd/>
              <w:spacing w:line="240" w:lineRule="auto"/>
              <w:jc w:val="left"/>
              <w:rPr>
                <w:rFonts w:ascii="Times New Roman" w:hAnsi="Times New Roman" w:cs="Times New Roman"/>
              </w:rPr>
            </w:pPr>
            <w:r>
              <w:rPr>
                <w:rFonts w:hint="eastAsia" w:ascii="Times New Roman" w:hAnsi="Times New Roman" w:cs="Times New Roman"/>
              </w:rPr>
              <w:t>每周一次或偶然暴露</w:t>
            </w:r>
          </w:p>
        </w:tc>
      </w:tr>
      <w:tr w14:paraId="52A414EE">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05B9D7F">
            <w:pPr>
              <w:widowControl/>
              <w:adjustRightInd/>
              <w:spacing w:line="240" w:lineRule="auto"/>
              <w:jc w:val="left"/>
              <w:rPr>
                <w:rFonts w:ascii="Times New Roman" w:hAnsi="Times New Roman" w:cs="Times New Roman"/>
              </w:rPr>
            </w:pPr>
            <w:r>
              <w:rPr>
                <w:rFonts w:ascii="Times New Roman" w:hAnsi="Times New Roman" w:cs="Times New Roman"/>
              </w:rPr>
              <w:t>2</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257D767">
            <w:pPr>
              <w:widowControl/>
              <w:adjustRightInd/>
              <w:spacing w:line="240" w:lineRule="auto"/>
              <w:jc w:val="left"/>
              <w:rPr>
                <w:rFonts w:ascii="Times New Roman" w:hAnsi="Times New Roman" w:cs="Times New Roman"/>
              </w:rPr>
            </w:pPr>
            <w:r>
              <w:rPr>
                <w:rFonts w:hint="eastAsia" w:ascii="Times New Roman" w:hAnsi="Times New Roman" w:cs="Times New Roman"/>
              </w:rPr>
              <w:t>每月一次</w:t>
            </w:r>
          </w:p>
        </w:tc>
      </w:tr>
      <w:tr w14:paraId="396E450A">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987549E">
            <w:pPr>
              <w:widowControl/>
              <w:adjustRightInd/>
              <w:spacing w:line="240" w:lineRule="auto"/>
              <w:jc w:val="left"/>
              <w:rPr>
                <w:rFonts w:ascii="Times New Roman" w:hAnsi="Times New Roman" w:cs="Times New Roman"/>
              </w:rPr>
            </w:pPr>
            <w:r>
              <w:rPr>
                <w:rFonts w:ascii="Times New Roman" w:hAnsi="Times New Roman" w:cs="Times New Roman"/>
              </w:rPr>
              <w:t>1</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5A4A5C6">
            <w:pPr>
              <w:widowControl/>
              <w:adjustRightInd/>
              <w:spacing w:line="240" w:lineRule="auto"/>
              <w:jc w:val="left"/>
              <w:rPr>
                <w:rFonts w:ascii="Times New Roman" w:hAnsi="Times New Roman" w:cs="Times New Roman"/>
              </w:rPr>
            </w:pPr>
            <w:r>
              <w:rPr>
                <w:rFonts w:hint="eastAsia" w:ascii="Times New Roman" w:hAnsi="Times New Roman" w:cs="Times New Roman"/>
              </w:rPr>
              <w:t>每年数次</w:t>
            </w:r>
          </w:p>
        </w:tc>
      </w:tr>
      <w:tr w14:paraId="314A04FC">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B39D3BC">
            <w:pPr>
              <w:widowControl/>
              <w:adjustRightInd/>
              <w:spacing w:line="240" w:lineRule="auto"/>
              <w:jc w:val="left"/>
              <w:rPr>
                <w:rFonts w:ascii="Times New Roman" w:hAnsi="Times New Roman" w:cs="Times New Roman"/>
              </w:rPr>
            </w:pPr>
            <w:r>
              <w:rPr>
                <w:rFonts w:ascii="Times New Roman" w:hAnsi="Times New Roman" w:cs="Times New Roman"/>
              </w:rPr>
              <w:t>0.5</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7D936C4">
            <w:pPr>
              <w:widowControl/>
              <w:adjustRightInd/>
              <w:spacing w:line="240" w:lineRule="auto"/>
              <w:jc w:val="left"/>
              <w:rPr>
                <w:rFonts w:ascii="Times New Roman" w:hAnsi="Times New Roman" w:cs="Times New Roman"/>
              </w:rPr>
            </w:pPr>
            <w:r>
              <w:rPr>
                <w:rFonts w:hint="eastAsia" w:ascii="Times New Roman" w:hAnsi="Times New Roman" w:cs="Times New Roman"/>
              </w:rPr>
              <w:t>非常罕见的暴露</w:t>
            </w:r>
          </w:p>
        </w:tc>
      </w:tr>
    </w:tbl>
    <w:p w14:paraId="0857E4A8">
      <w:pPr>
        <w:widowControl/>
        <w:adjustRightInd/>
        <w:spacing w:line="240" w:lineRule="auto"/>
        <w:jc w:val="center"/>
        <w:rPr>
          <w:rFonts w:ascii="Times New Roman" w:hAnsi="Times New Roman" w:cs="Times New Roman"/>
        </w:rPr>
      </w:pPr>
    </w:p>
    <w:p w14:paraId="2683C18A">
      <w:pPr>
        <w:widowControl/>
        <w:adjustRightInd/>
        <w:spacing w:line="240" w:lineRule="auto"/>
        <w:jc w:val="left"/>
        <w:rPr>
          <w:rFonts w:ascii="Times New Roman" w:hAnsi="Times New Roman" w:eastAsia="黑体" w:cs="Times New Roman"/>
          <w:bCs/>
          <w:szCs w:val="32"/>
        </w:rPr>
      </w:pPr>
      <w:r>
        <w:rPr>
          <w:rFonts w:ascii="Times New Roman" w:hAnsi="Times New Roman" w:cs="Times New Roman"/>
        </w:rPr>
        <w:br w:type="page"/>
      </w:r>
    </w:p>
    <w:p w14:paraId="00D29609">
      <w:pPr>
        <w:pStyle w:val="107"/>
        <w:spacing w:before="156" w:after="156"/>
        <w:rPr>
          <w:rFonts w:cs="Times New Roman"/>
        </w:rPr>
      </w:pPr>
      <w:bookmarkStart w:id="52" w:name="_Toc130762937"/>
      <w:bookmarkStart w:id="53" w:name="_Toc16836"/>
      <w:r>
        <w:rPr>
          <w:rFonts w:hint="eastAsia" w:cs="Times New Roman"/>
        </w:rPr>
        <w:t>表</w:t>
      </w:r>
      <w:r>
        <w:rPr>
          <w:rFonts w:cs="Times New Roman"/>
        </w:rPr>
        <w:t xml:space="preserve">C.3 </w:t>
      </w:r>
      <w:r>
        <w:rPr>
          <w:rFonts w:hint="eastAsia" w:cs="Times New Roman"/>
        </w:rPr>
        <w:t>事故发生的结果</w:t>
      </w:r>
      <w:r>
        <w:rPr>
          <w:rFonts w:cs="Times New Roman"/>
        </w:rPr>
        <w:t>C</w:t>
      </w:r>
      <w:bookmarkEnd w:id="52"/>
      <w:bookmarkEnd w:id="53"/>
    </w:p>
    <w:tbl>
      <w:tblPr>
        <w:tblStyle w:val="22"/>
        <w:tblW w:w="5340" w:type="dxa"/>
        <w:jc w:val="center"/>
        <w:tblLayout w:type="autofit"/>
        <w:tblCellMar>
          <w:top w:w="0" w:type="dxa"/>
          <w:left w:w="0" w:type="dxa"/>
          <w:bottom w:w="0" w:type="dxa"/>
          <w:right w:w="0" w:type="dxa"/>
        </w:tblCellMar>
      </w:tblPr>
      <w:tblGrid>
        <w:gridCol w:w="1820"/>
        <w:gridCol w:w="3520"/>
      </w:tblGrid>
      <w:tr w14:paraId="177FA63F">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6AB69C6">
            <w:pPr>
              <w:widowControl/>
              <w:adjustRightInd/>
              <w:spacing w:line="240" w:lineRule="auto"/>
              <w:jc w:val="center"/>
              <w:rPr>
                <w:rFonts w:ascii="Times New Roman" w:hAnsi="Times New Roman" w:cs="Times New Roman"/>
              </w:rPr>
            </w:pPr>
            <w:r>
              <w:rPr>
                <w:rFonts w:ascii="Times New Roman" w:hAnsi="Times New Roman" w:cs="Times New Roman"/>
              </w:rPr>
              <w:t>C</w:t>
            </w:r>
            <w:r>
              <w:rPr>
                <w:rFonts w:hint="eastAsia" w:ascii="Times New Roman" w:hAnsi="Times New Roman" w:cs="Times New Roman"/>
              </w:rPr>
              <w:t>值</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9E9B08C">
            <w:pPr>
              <w:widowControl/>
              <w:adjustRightInd/>
              <w:spacing w:line="240" w:lineRule="auto"/>
              <w:jc w:val="center"/>
              <w:rPr>
                <w:rFonts w:ascii="Times New Roman" w:hAnsi="Times New Roman" w:cs="Times New Roman"/>
              </w:rPr>
            </w:pPr>
            <w:r>
              <w:rPr>
                <w:rFonts w:hint="eastAsia" w:ascii="Times New Roman" w:hAnsi="Times New Roman" w:cs="Times New Roman"/>
              </w:rPr>
              <w:t>可能结果</w:t>
            </w:r>
          </w:p>
        </w:tc>
      </w:tr>
      <w:tr w14:paraId="3E70492F">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809905A">
            <w:pPr>
              <w:widowControl/>
              <w:adjustRightInd/>
              <w:spacing w:line="240" w:lineRule="auto"/>
              <w:jc w:val="center"/>
              <w:rPr>
                <w:rFonts w:ascii="Times New Roman" w:hAnsi="Times New Roman" w:cs="Times New Roman"/>
              </w:rPr>
            </w:pPr>
            <w:r>
              <w:rPr>
                <w:rFonts w:ascii="Times New Roman" w:hAnsi="Times New Roman" w:cs="Times New Roman"/>
              </w:rPr>
              <w:t>100</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F3BBD3C">
            <w:pPr>
              <w:widowControl/>
              <w:adjustRightInd/>
              <w:spacing w:line="240" w:lineRule="auto"/>
              <w:jc w:val="center"/>
              <w:rPr>
                <w:rFonts w:ascii="Times New Roman" w:hAnsi="Times New Roman" w:cs="Times New Roman"/>
              </w:rPr>
            </w:pPr>
            <w:r>
              <w:rPr>
                <w:rFonts w:hint="eastAsia" w:ascii="Times New Roman" w:hAnsi="Times New Roman" w:cs="Times New Roman"/>
              </w:rPr>
              <w:t>大灾难，多人死亡，或造成重大财产损失</w:t>
            </w:r>
          </w:p>
        </w:tc>
      </w:tr>
      <w:tr w14:paraId="6DB020DB">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7D5AA6A">
            <w:pPr>
              <w:widowControl/>
              <w:adjustRightInd/>
              <w:spacing w:line="240" w:lineRule="auto"/>
              <w:jc w:val="center"/>
              <w:rPr>
                <w:rFonts w:ascii="Times New Roman" w:hAnsi="Times New Roman" w:cs="Times New Roman"/>
              </w:rPr>
            </w:pPr>
            <w:r>
              <w:rPr>
                <w:rFonts w:ascii="Times New Roman" w:hAnsi="Times New Roman" w:cs="Times New Roman"/>
              </w:rPr>
              <w:t>40</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5554342">
            <w:pPr>
              <w:widowControl/>
              <w:adjustRightInd/>
              <w:spacing w:line="240" w:lineRule="auto"/>
              <w:jc w:val="center"/>
              <w:rPr>
                <w:rFonts w:ascii="Times New Roman" w:hAnsi="Times New Roman" w:cs="Times New Roman"/>
              </w:rPr>
            </w:pPr>
            <w:r>
              <w:rPr>
                <w:rFonts w:hint="eastAsia" w:ascii="Times New Roman" w:hAnsi="Times New Roman" w:cs="Times New Roman"/>
              </w:rPr>
              <w:t>灾难，数人死亡，或造成很大财产损失</w:t>
            </w:r>
          </w:p>
        </w:tc>
      </w:tr>
      <w:tr w14:paraId="60B734A7">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470F407">
            <w:pPr>
              <w:widowControl/>
              <w:adjustRightInd/>
              <w:spacing w:line="240" w:lineRule="auto"/>
              <w:jc w:val="center"/>
              <w:rPr>
                <w:rFonts w:ascii="Times New Roman" w:hAnsi="Times New Roman" w:cs="Times New Roman"/>
              </w:rPr>
            </w:pPr>
            <w:r>
              <w:rPr>
                <w:rFonts w:ascii="Times New Roman" w:hAnsi="Times New Roman" w:cs="Times New Roman"/>
              </w:rPr>
              <w:t>15</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819FFE8">
            <w:pPr>
              <w:widowControl/>
              <w:adjustRightInd/>
              <w:spacing w:line="240" w:lineRule="auto"/>
              <w:jc w:val="center"/>
              <w:rPr>
                <w:rFonts w:ascii="Times New Roman" w:hAnsi="Times New Roman" w:cs="Times New Roman"/>
              </w:rPr>
            </w:pPr>
            <w:r>
              <w:rPr>
                <w:rFonts w:hint="eastAsia" w:ascii="Times New Roman" w:hAnsi="Times New Roman" w:cs="Times New Roman"/>
              </w:rPr>
              <w:t>非常严重，</w:t>
            </w:r>
            <w:r>
              <w:rPr>
                <w:rFonts w:ascii="Times New Roman" w:hAnsi="Times New Roman" w:cs="Times New Roman"/>
              </w:rPr>
              <w:t>1</w:t>
            </w:r>
            <w:r>
              <w:rPr>
                <w:rFonts w:hint="eastAsia" w:ascii="Times New Roman" w:hAnsi="Times New Roman" w:cs="Times New Roman"/>
              </w:rPr>
              <w:t>人死亡，或造成一定财产损失</w:t>
            </w:r>
          </w:p>
        </w:tc>
      </w:tr>
      <w:tr w14:paraId="14E229AF">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EB80620">
            <w:pPr>
              <w:widowControl/>
              <w:adjustRightInd/>
              <w:spacing w:line="240" w:lineRule="auto"/>
              <w:jc w:val="center"/>
              <w:rPr>
                <w:rFonts w:ascii="Times New Roman" w:hAnsi="Times New Roman" w:cs="Times New Roman"/>
              </w:rPr>
            </w:pPr>
            <w:r>
              <w:rPr>
                <w:rFonts w:ascii="Times New Roman" w:hAnsi="Times New Roman" w:cs="Times New Roman"/>
              </w:rPr>
              <w:t>7</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E2612ED">
            <w:pPr>
              <w:widowControl/>
              <w:adjustRightInd/>
              <w:spacing w:line="240" w:lineRule="auto"/>
              <w:jc w:val="center"/>
              <w:rPr>
                <w:rFonts w:ascii="Times New Roman" w:hAnsi="Times New Roman" w:cs="Times New Roman"/>
              </w:rPr>
            </w:pPr>
            <w:r>
              <w:rPr>
                <w:rFonts w:hint="eastAsia" w:ascii="Times New Roman" w:hAnsi="Times New Roman" w:cs="Times New Roman"/>
              </w:rPr>
              <w:t>严重，重伤，或较小财产损失</w:t>
            </w:r>
          </w:p>
        </w:tc>
      </w:tr>
      <w:tr w14:paraId="38C56CA4">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DC35F29">
            <w:pPr>
              <w:widowControl/>
              <w:adjustRightInd/>
              <w:spacing w:line="240" w:lineRule="auto"/>
              <w:jc w:val="center"/>
              <w:rPr>
                <w:rFonts w:ascii="Times New Roman" w:hAnsi="Times New Roman" w:cs="Times New Roman"/>
              </w:rPr>
            </w:pPr>
            <w:r>
              <w:rPr>
                <w:rFonts w:ascii="Times New Roman" w:hAnsi="Times New Roman" w:cs="Times New Roman"/>
              </w:rPr>
              <w:t>3</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63AA3B0">
            <w:pPr>
              <w:widowControl/>
              <w:adjustRightInd/>
              <w:spacing w:line="240" w:lineRule="auto"/>
              <w:jc w:val="center"/>
              <w:rPr>
                <w:rFonts w:ascii="Times New Roman" w:hAnsi="Times New Roman" w:cs="Times New Roman"/>
              </w:rPr>
            </w:pPr>
            <w:r>
              <w:rPr>
                <w:rFonts w:hint="eastAsia" w:ascii="Times New Roman" w:hAnsi="Times New Roman" w:cs="Times New Roman"/>
              </w:rPr>
              <w:t>一般，轻伤，或很小财产损失</w:t>
            </w:r>
          </w:p>
        </w:tc>
      </w:tr>
      <w:tr w14:paraId="5AE6BE42">
        <w:tblPrEx>
          <w:tblCellMar>
            <w:top w:w="0" w:type="dxa"/>
            <w:left w:w="0" w:type="dxa"/>
            <w:bottom w:w="0" w:type="dxa"/>
            <w:right w:w="0" w:type="dxa"/>
          </w:tblCellMar>
        </w:tblPrEx>
        <w:trPr>
          <w:trHeight w:val="397" w:hRule="atLeast"/>
          <w:jc w:val="center"/>
        </w:trPr>
        <w:tc>
          <w:tcPr>
            <w:tcW w:w="18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CC3C8D9">
            <w:pPr>
              <w:widowControl/>
              <w:adjustRightInd/>
              <w:spacing w:line="240" w:lineRule="auto"/>
              <w:jc w:val="center"/>
              <w:rPr>
                <w:rFonts w:ascii="Times New Roman" w:hAnsi="Times New Roman" w:cs="Times New Roman"/>
              </w:rPr>
            </w:pPr>
            <w:r>
              <w:rPr>
                <w:rFonts w:ascii="Times New Roman" w:hAnsi="Times New Roman" w:cs="Times New Roman"/>
              </w:rPr>
              <w:t>1</w:t>
            </w:r>
          </w:p>
        </w:tc>
        <w:tc>
          <w:tcPr>
            <w:tcW w:w="35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C746571">
            <w:pPr>
              <w:widowControl/>
              <w:adjustRightInd/>
              <w:spacing w:line="240" w:lineRule="auto"/>
              <w:jc w:val="center"/>
              <w:rPr>
                <w:rFonts w:ascii="Times New Roman" w:hAnsi="Times New Roman" w:cs="Times New Roman"/>
              </w:rPr>
            </w:pPr>
            <w:r>
              <w:rPr>
                <w:rFonts w:hint="eastAsia" w:ascii="Times New Roman" w:hAnsi="Times New Roman" w:cs="Times New Roman"/>
              </w:rPr>
              <w:t>引人注目，不利于安全卫生要素</w:t>
            </w:r>
          </w:p>
        </w:tc>
      </w:tr>
    </w:tbl>
    <w:p w14:paraId="5F81EE2B">
      <w:pPr>
        <w:widowControl/>
        <w:adjustRightInd/>
        <w:spacing w:line="240" w:lineRule="auto"/>
        <w:jc w:val="center"/>
        <w:rPr>
          <w:rFonts w:ascii="Times New Roman" w:hAnsi="Times New Roman" w:cs="Times New Roman"/>
        </w:rPr>
      </w:pPr>
    </w:p>
    <w:p w14:paraId="79877B6E">
      <w:pPr>
        <w:widowControl/>
        <w:adjustRightInd/>
        <w:spacing w:line="240" w:lineRule="auto"/>
        <w:jc w:val="left"/>
        <w:rPr>
          <w:rFonts w:ascii="Times New Roman" w:hAnsi="Times New Roman" w:cs="Times New Roman"/>
        </w:rPr>
      </w:pPr>
    </w:p>
    <w:p w14:paraId="17FF7524">
      <w:pPr>
        <w:pStyle w:val="107"/>
        <w:spacing w:before="156" w:after="156"/>
        <w:rPr>
          <w:rFonts w:cs="Times New Roman"/>
        </w:rPr>
      </w:pPr>
      <w:bookmarkStart w:id="54" w:name="_Toc130762938"/>
      <w:bookmarkStart w:id="55" w:name="_Toc32548"/>
      <w:r>
        <w:rPr>
          <w:rFonts w:hint="eastAsia" w:cs="Times New Roman"/>
        </w:rPr>
        <w:t>表</w:t>
      </w:r>
      <w:r>
        <w:rPr>
          <w:rFonts w:cs="Times New Roman"/>
        </w:rPr>
        <w:t xml:space="preserve">C.4 </w:t>
      </w:r>
      <w:r>
        <w:rPr>
          <w:rFonts w:hint="eastAsia" w:cs="Times New Roman"/>
        </w:rPr>
        <w:t>作业危险性评价表</w:t>
      </w:r>
      <w:bookmarkEnd w:id="54"/>
      <w:r>
        <w:rPr>
          <w:rFonts w:hint="eastAsia" w:cs="Times New Roman"/>
        </w:rPr>
        <w:t>示例</w:t>
      </w:r>
      <w:bookmarkEnd w:id="55"/>
    </w:p>
    <w:tbl>
      <w:tblPr>
        <w:tblStyle w:val="22"/>
        <w:tblW w:w="8505" w:type="dxa"/>
        <w:jc w:val="center"/>
        <w:tblLayout w:type="autofit"/>
        <w:tblCellMar>
          <w:top w:w="0" w:type="dxa"/>
          <w:left w:w="0" w:type="dxa"/>
          <w:bottom w:w="0" w:type="dxa"/>
          <w:right w:w="0" w:type="dxa"/>
        </w:tblCellMar>
      </w:tblPr>
      <w:tblGrid>
        <w:gridCol w:w="890"/>
        <w:gridCol w:w="1309"/>
        <w:gridCol w:w="1855"/>
        <w:gridCol w:w="657"/>
        <w:gridCol w:w="657"/>
        <w:gridCol w:w="688"/>
        <w:gridCol w:w="664"/>
        <w:gridCol w:w="1785"/>
      </w:tblGrid>
      <w:tr w14:paraId="1D7CC318">
        <w:tblPrEx>
          <w:tblCellMar>
            <w:top w:w="0" w:type="dxa"/>
            <w:left w:w="0" w:type="dxa"/>
            <w:bottom w:w="0" w:type="dxa"/>
            <w:right w:w="0" w:type="dxa"/>
          </w:tblCellMar>
        </w:tblPrEx>
        <w:trPr>
          <w:trHeight w:val="584" w:hRule="atLeast"/>
          <w:jc w:val="center"/>
        </w:trPr>
        <w:tc>
          <w:tcPr>
            <w:tcW w:w="89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F70ACD1">
            <w:pPr>
              <w:widowControl/>
              <w:adjustRightInd/>
              <w:spacing w:line="240" w:lineRule="auto"/>
              <w:jc w:val="center"/>
              <w:rPr>
                <w:rFonts w:ascii="Times New Roman" w:hAnsi="Times New Roman" w:cs="Times New Roman"/>
              </w:rPr>
            </w:pPr>
            <w:r>
              <w:rPr>
                <w:rFonts w:hint="eastAsia" w:ascii="Times New Roman" w:hAnsi="Times New Roman" w:cs="Times New Roman"/>
              </w:rPr>
              <w:t>序号</w:t>
            </w:r>
          </w:p>
        </w:tc>
        <w:tc>
          <w:tcPr>
            <w:tcW w:w="130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686AD52">
            <w:pPr>
              <w:widowControl/>
              <w:adjustRightInd/>
              <w:spacing w:line="240" w:lineRule="auto"/>
              <w:jc w:val="center"/>
              <w:rPr>
                <w:rFonts w:ascii="Times New Roman" w:hAnsi="Times New Roman" w:cs="Times New Roman"/>
              </w:rPr>
            </w:pPr>
            <w:r>
              <w:rPr>
                <w:rFonts w:hint="eastAsia" w:ascii="Times New Roman" w:hAnsi="Times New Roman" w:cs="Times New Roman"/>
              </w:rPr>
              <w:t>设备场所</w:t>
            </w:r>
          </w:p>
        </w:tc>
        <w:tc>
          <w:tcPr>
            <w:tcW w:w="185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8D38B1D">
            <w:pPr>
              <w:widowControl/>
              <w:adjustRightInd/>
              <w:spacing w:line="240" w:lineRule="auto"/>
              <w:jc w:val="center"/>
              <w:rPr>
                <w:rFonts w:ascii="Times New Roman" w:hAnsi="Times New Roman" w:cs="Times New Roman"/>
              </w:rPr>
            </w:pPr>
            <w:r>
              <w:rPr>
                <w:rFonts w:hint="eastAsia" w:ascii="Times New Roman" w:hAnsi="Times New Roman" w:cs="Times New Roman"/>
              </w:rPr>
              <w:t>存在问题</w:t>
            </w: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7C5DFAB">
            <w:pPr>
              <w:widowControl/>
              <w:adjustRightInd/>
              <w:spacing w:line="240" w:lineRule="auto"/>
              <w:jc w:val="center"/>
              <w:rPr>
                <w:rFonts w:ascii="Times New Roman" w:hAnsi="Times New Roman" w:cs="Times New Roman"/>
              </w:rPr>
            </w:pPr>
            <w:r>
              <w:rPr>
                <w:rFonts w:ascii="Times New Roman" w:hAnsi="Times New Roman" w:cs="Times New Roman"/>
              </w:rPr>
              <w:t>L</w:t>
            </w: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88E5AC5">
            <w:pPr>
              <w:widowControl/>
              <w:adjustRightInd/>
              <w:spacing w:line="240" w:lineRule="auto"/>
              <w:jc w:val="center"/>
              <w:rPr>
                <w:rFonts w:ascii="Times New Roman" w:hAnsi="Times New Roman" w:cs="Times New Roman"/>
              </w:rPr>
            </w:pPr>
            <w:r>
              <w:rPr>
                <w:rFonts w:ascii="Times New Roman" w:hAnsi="Times New Roman" w:cs="Times New Roman"/>
              </w:rPr>
              <w:t>E</w:t>
            </w:r>
          </w:p>
        </w:tc>
        <w:tc>
          <w:tcPr>
            <w:tcW w:w="68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C8115B1">
            <w:pPr>
              <w:widowControl/>
              <w:adjustRightInd/>
              <w:spacing w:line="240" w:lineRule="auto"/>
              <w:jc w:val="center"/>
              <w:rPr>
                <w:rFonts w:ascii="Times New Roman" w:hAnsi="Times New Roman" w:cs="Times New Roman"/>
              </w:rPr>
            </w:pPr>
            <w:r>
              <w:rPr>
                <w:rFonts w:ascii="Times New Roman" w:hAnsi="Times New Roman" w:cs="Times New Roman"/>
              </w:rPr>
              <w:t>C</w:t>
            </w:r>
          </w:p>
        </w:tc>
        <w:tc>
          <w:tcPr>
            <w:tcW w:w="66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40BEB07">
            <w:pPr>
              <w:widowControl/>
              <w:adjustRightInd/>
              <w:spacing w:line="240" w:lineRule="auto"/>
              <w:jc w:val="center"/>
              <w:rPr>
                <w:rFonts w:ascii="Times New Roman" w:hAnsi="Times New Roman" w:cs="Times New Roman"/>
              </w:rPr>
            </w:pPr>
            <w:r>
              <w:rPr>
                <w:rFonts w:ascii="Times New Roman" w:hAnsi="Times New Roman" w:cs="Times New Roman"/>
              </w:rPr>
              <w:t>D</w:t>
            </w:r>
          </w:p>
        </w:tc>
        <w:tc>
          <w:tcPr>
            <w:tcW w:w="178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423B917">
            <w:pPr>
              <w:widowControl/>
              <w:adjustRightInd/>
              <w:spacing w:line="240" w:lineRule="auto"/>
              <w:jc w:val="center"/>
              <w:rPr>
                <w:rFonts w:ascii="Times New Roman" w:hAnsi="Times New Roman" w:cs="Times New Roman"/>
              </w:rPr>
            </w:pPr>
            <w:r>
              <w:rPr>
                <w:rFonts w:hint="eastAsia" w:ascii="Times New Roman" w:hAnsi="Times New Roman" w:cs="Times New Roman"/>
              </w:rPr>
              <w:t>危险等级</w:t>
            </w:r>
          </w:p>
        </w:tc>
      </w:tr>
      <w:tr w14:paraId="3DBB53EB">
        <w:tblPrEx>
          <w:tblCellMar>
            <w:top w:w="0" w:type="dxa"/>
            <w:left w:w="0" w:type="dxa"/>
            <w:bottom w:w="0" w:type="dxa"/>
            <w:right w:w="0" w:type="dxa"/>
          </w:tblCellMar>
        </w:tblPrEx>
        <w:trPr>
          <w:trHeight w:val="584" w:hRule="atLeast"/>
          <w:jc w:val="center"/>
        </w:trPr>
        <w:tc>
          <w:tcPr>
            <w:tcW w:w="89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CF06A70">
            <w:pPr>
              <w:widowControl/>
              <w:adjustRightInd/>
              <w:spacing w:line="240" w:lineRule="auto"/>
              <w:jc w:val="center"/>
              <w:rPr>
                <w:rFonts w:ascii="Times New Roman" w:hAnsi="Times New Roman" w:cs="Times New Roman"/>
              </w:rPr>
            </w:pPr>
            <w:r>
              <w:rPr>
                <w:rFonts w:hint="eastAsia" w:ascii="Times New Roman" w:hAnsi="Times New Roman" w:cs="Times New Roman"/>
              </w:rPr>
              <w:t>1</w:t>
            </w:r>
          </w:p>
        </w:tc>
        <w:tc>
          <w:tcPr>
            <w:tcW w:w="130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670DDD5">
            <w:pPr>
              <w:widowControl/>
              <w:adjustRightInd/>
              <w:spacing w:line="240" w:lineRule="auto"/>
              <w:jc w:val="center"/>
              <w:rPr>
                <w:rFonts w:ascii="Times New Roman" w:hAnsi="Times New Roman" w:cs="Times New Roman"/>
              </w:rPr>
            </w:pPr>
            <w:r>
              <w:rPr>
                <w:rFonts w:hint="eastAsia" w:cs="Times New Roman"/>
              </w:rPr>
              <w:t>储能电箱</w:t>
            </w:r>
          </w:p>
        </w:tc>
        <w:tc>
          <w:tcPr>
            <w:tcW w:w="185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C136874">
            <w:pPr>
              <w:widowControl/>
              <w:adjustRightInd/>
              <w:spacing w:line="240" w:lineRule="auto"/>
              <w:jc w:val="center"/>
              <w:rPr>
                <w:rFonts w:ascii="Times New Roman" w:hAnsi="Times New Roman" w:cs="Times New Roman"/>
              </w:rPr>
            </w:pPr>
            <w:r>
              <w:rPr>
                <w:rFonts w:hint="eastAsia" w:cs="Times New Roman"/>
              </w:rPr>
              <w:t>电池簇温度过高</w:t>
            </w: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266CCE7">
            <w:pPr>
              <w:widowControl/>
              <w:adjustRightInd/>
              <w:spacing w:line="240" w:lineRule="auto"/>
              <w:jc w:val="center"/>
              <w:rPr>
                <w:rFonts w:ascii="Times New Roman" w:hAnsi="Times New Roman" w:cs="Times New Roman"/>
              </w:rPr>
            </w:pPr>
            <w:r>
              <w:rPr>
                <w:rFonts w:hint="eastAsia" w:ascii="Times New Roman" w:hAnsi="Times New Roman" w:cs="Times New Roman"/>
              </w:rPr>
              <w:t>1</w:t>
            </w: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36B0E78">
            <w:pPr>
              <w:widowControl/>
              <w:adjustRightInd/>
              <w:spacing w:line="240" w:lineRule="auto"/>
              <w:jc w:val="center"/>
              <w:rPr>
                <w:rFonts w:ascii="Times New Roman" w:hAnsi="Times New Roman" w:cs="Times New Roman"/>
              </w:rPr>
            </w:pPr>
            <w:r>
              <w:rPr>
                <w:rFonts w:hint="eastAsia" w:ascii="Times New Roman" w:hAnsi="Times New Roman" w:cs="Times New Roman"/>
              </w:rPr>
              <w:t>6</w:t>
            </w:r>
          </w:p>
        </w:tc>
        <w:tc>
          <w:tcPr>
            <w:tcW w:w="68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01F3511">
            <w:pPr>
              <w:widowControl/>
              <w:adjustRightInd/>
              <w:spacing w:line="240" w:lineRule="auto"/>
              <w:jc w:val="center"/>
              <w:rPr>
                <w:rFonts w:ascii="Times New Roman" w:hAnsi="Times New Roman" w:cs="Times New Roman"/>
              </w:rPr>
            </w:pPr>
            <w:r>
              <w:rPr>
                <w:rFonts w:hint="eastAsia" w:ascii="Times New Roman" w:hAnsi="Times New Roman" w:cs="Times New Roman"/>
              </w:rPr>
              <w:t>7</w:t>
            </w:r>
          </w:p>
        </w:tc>
        <w:tc>
          <w:tcPr>
            <w:tcW w:w="66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F8CE5C9">
            <w:pPr>
              <w:widowControl/>
              <w:adjustRightInd/>
              <w:spacing w:line="240" w:lineRule="auto"/>
              <w:jc w:val="cente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2</w:t>
            </w:r>
          </w:p>
        </w:tc>
        <w:tc>
          <w:tcPr>
            <w:tcW w:w="178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012DD97">
            <w:pPr>
              <w:widowControl/>
              <w:adjustRightInd/>
              <w:spacing w:line="240" w:lineRule="auto"/>
              <w:jc w:val="center"/>
              <w:rPr>
                <w:rFonts w:ascii="Times New Roman" w:hAnsi="Times New Roman" w:cs="Times New Roman"/>
              </w:rPr>
            </w:pPr>
            <w:r>
              <w:rPr>
                <w:rFonts w:hint="eastAsia" w:ascii="宋体" w:hAnsi="宋体" w:cs="宋体"/>
              </w:rPr>
              <w:t>Ⅱ</w:t>
            </w:r>
          </w:p>
        </w:tc>
      </w:tr>
      <w:tr w14:paraId="1675FD34">
        <w:tblPrEx>
          <w:tblCellMar>
            <w:top w:w="0" w:type="dxa"/>
            <w:left w:w="0" w:type="dxa"/>
            <w:bottom w:w="0" w:type="dxa"/>
            <w:right w:w="0" w:type="dxa"/>
          </w:tblCellMar>
        </w:tblPrEx>
        <w:trPr>
          <w:trHeight w:val="584" w:hRule="atLeast"/>
          <w:jc w:val="center"/>
        </w:trPr>
        <w:tc>
          <w:tcPr>
            <w:tcW w:w="89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2D6A04A">
            <w:pPr>
              <w:widowControl/>
              <w:adjustRightInd/>
              <w:spacing w:line="240" w:lineRule="auto"/>
              <w:jc w:val="center"/>
              <w:rPr>
                <w:rFonts w:ascii="Times New Roman" w:hAnsi="Times New Roman" w:cs="Times New Roman"/>
              </w:rPr>
            </w:pPr>
          </w:p>
        </w:tc>
        <w:tc>
          <w:tcPr>
            <w:tcW w:w="130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5B34F3D">
            <w:pPr>
              <w:widowControl/>
              <w:adjustRightInd/>
              <w:spacing w:line="240" w:lineRule="auto"/>
              <w:jc w:val="center"/>
              <w:rPr>
                <w:rFonts w:ascii="Times New Roman" w:hAnsi="Times New Roman" w:cs="Times New Roman"/>
              </w:rPr>
            </w:pPr>
          </w:p>
        </w:tc>
        <w:tc>
          <w:tcPr>
            <w:tcW w:w="185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5F997DD">
            <w:pPr>
              <w:widowControl/>
              <w:adjustRightInd/>
              <w:spacing w:line="240" w:lineRule="auto"/>
              <w:jc w:val="center"/>
              <w:rPr>
                <w:rFonts w:ascii="Times New Roman" w:hAnsi="Times New Roman" w:cs="Times New Roman"/>
              </w:rPr>
            </w:pP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B67F5BD">
            <w:pPr>
              <w:widowControl/>
              <w:adjustRightInd/>
              <w:spacing w:line="240" w:lineRule="auto"/>
              <w:jc w:val="center"/>
              <w:rPr>
                <w:rFonts w:ascii="Times New Roman" w:hAnsi="Times New Roman" w:cs="Times New Roman"/>
              </w:rPr>
            </w:pPr>
          </w:p>
        </w:tc>
        <w:tc>
          <w:tcPr>
            <w:tcW w:w="6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2FCC9DA">
            <w:pPr>
              <w:widowControl/>
              <w:adjustRightInd/>
              <w:spacing w:line="240" w:lineRule="auto"/>
              <w:jc w:val="center"/>
              <w:rPr>
                <w:rFonts w:ascii="Times New Roman" w:hAnsi="Times New Roman" w:cs="Times New Roman"/>
              </w:rPr>
            </w:pPr>
          </w:p>
        </w:tc>
        <w:tc>
          <w:tcPr>
            <w:tcW w:w="68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1DEEDCF">
            <w:pPr>
              <w:widowControl/>
              <w:adjustRightInd/>
              <w:spacing w:line="240" w:lineRule="auto"/>
              <w:jc w:val="center"/>
              <w:rPr>
                <w:rFonts w:ascii="Times New Roman" w:hAnsi="Times New Roman" w:cs="Times New Roman"/>
              </w:rPr>
            </w:pPr>
          </w:p>
        </w:tc>
        <w:tc>
          <w:tcPr>
            <w:tcW w:w="66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10D5C24">
            <w:pPr>
              <w:widowControl/>
              <w:adjustRightInd/>
              <w:spacing w:line="240" w:lineRule="auto"/>
              <w:jc w:val="center"/>
              <w:rPr>
                <w:rFonts w:ascii="Times New Roman" w:hAnsi="Times New Roman" w:cs="Times New Roman"/>
              </w:rPr>
            </w:pPr>
          </w:p>
        </w:tc>
        <w:tc>
          <w:tcPr>
            <w:tcW w:w="178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30F71D9">
            <w:pPr>
              <w:widowControl/>
              <w:adjustRightInd/>
              <w:spacing w:line="240" w:lineRule="auto"/>
              <w:jc w:val="center"/>
              <w:rPr>
                <w:rFonts w:ascii="Times New Roman" w:hAnsi="Times New Roman" w:cs="Times New Roman"/>
              </w:rPr>
            </w:pPr>
          </w:p>
        </w:tc>
      </w:tr>
    </w:tbl>
    <w:p w14:paraId="439F7A0A">
      <w:pPr>
        <w:widowControl/>
        <w:adjustRightInd/>
        <w:spacing w:line="240" w:lineRule="auto"/>
        <w:jc w:val="left"/>
        <w:rPr>
          <w:rFonts w:ascii="Times New Roman" w:hAnsi="Times New Roman" w:cs="Times New Roman"/>
        </w:rPr>
      </w:pPr>
    </w:p>
    <w:p w14:paraId="1D2281F4">
      <w:pPr>
        <w:widowControl/>
        <w:adjustRightInd/>
        <w:spacing w:line="240" w:lineRule="auto"/>
        <w:jc w:val="left"/>
        <w:rPr>
          <w:rFonts w:ascii="Times New Roman" w:hAnsi="Times New Roman" w:eastAsia="黑体" w:cs="Times New Roman"/>
          <w:bCs/>
          <w:szCs w:val="32"/>
        </w:rPr>
      </w:pPr>
      <w:r>
        <w:rPr>
          <w:rFonts w:ascii="Times New Roman" w:hAnsi="Times New Roman" w:cs="Times New Roman"/>
        </w:rPr>
        <w:br w:type="page"/>
      </w:r>
    </w:p>
    <w:p w14:paraId="6571BF0F">
      <w:pPr>
        <w:pStyle w:val="90"/>
        <w:numPr>
          <w:ilvl w:val="0"/>
          <w:numId w:val="0"/>
        </w:numPr>
        <w:rPr>
          <w:rFonts w:ascii="Times New Roman"/>
        </w:rPr>
      </w:pPr>
      <w:bookmarkStart w:id="56" w:name="_Toc130762929"/>
      <w:r>
        <w:rPr>
          <w:rFonts w:hint="eastAsia" w:ascii="Times New Roman"/>
        </w:rPr>
        <w:t>附</w:t>
      </w:r>
      <w:r>
        <w:rPr>
          <w:rFonts w:ascii="Times New Roman"/>
        </w:rPr>
        <w:t xml:space="preserve"> </w:t>
      </w:r>
      <w:r>
        <w:rPr>
          <w:rFonts w:hint="eastAsia" w:ascii="Times New Roman"/>
        </w:rPr>
        <w:t>录</w:t>
      </w:r>
      <w:r>
        <w:rPr>
          <w:rFonts w:ascii="Times New Roman"/>
        </w:rPr>
        <w:t xml:space="preserve"> D</w:t>
      </w:r>
      <w:r>
        <w:rPr>
          <w:rFonts w:ascii="Times New Roman"/>
        </w:rPr>
        <w:br w:type="textWrapping"/>
      </w:r>
      <w:r>
        <w:rPr>
          <w:rFonts w:hint="eastAsia" w:ascii="Times New Roman"/>
        </w:rPr>
        <w:t>（资料性附录）</w:t>
      </w:r>
      <w:r>
        <w:rPr>
          <w:rFonts w:ascii="Times New Roman"/>
        </w:rPr>
        <w:br w:type="textWrapping"/>
      </w:r>
      <w:r>
        <w:rPr>
          <w:rFonts w:hint="eastAsia" w:ascii="Times New Roman"/>
        </w:rPr>
        <w:t>危险与可操作性分析法</w:t>
      </w:r>
      <w:bookmarkEnd w:id="56"/>
    </w:p>
    <w:p w14:paraId="7392FE55">
      <w:pPr>
        <w:pStyle w:val="107"/>
        <w:spacing w:before="156" w:after="156"/>
        <w:rPr>
          <w:rFonts w:cs="Times New Roman"/>
        </w:rPr>
      </w:pPr>
      <w:bookmarkStart w:id="57" w:name="_Toc130762939"/>
      <w:bookmarkStart w:id="58" w:name="_Toc21121"/>
      <w:r>
        <w:rPr>
          <w:rFonts w:hint="eastAsia" w:cs="Times New Roman"/>
        </w:rPr>
        <w:t>表</w:t>
      </w:r>
      <w:r>
        <w:rPr>
          <w:rFonts w:cs="Times New Roman"/>
        </w:rPr>
        <w:t xml:space="preserve">D.1 </w:t>
      </w:r>
      <w:bookmarkEnd w:id="57"/>
      <w:r>
        <w:rPr>
          <w:rFonts w:hint="eastAsia" w:cs="Times New Roman"/>
        </w:rPr>
        <w:t>危险与可操作性分析法示例</w:t>
      </w:r>
      <w:bookmarkEnd w:id="58"/>
    </w:p>
    <w:tbl>
      <w:tblPr>
        <w:tblStyle w:val="22"/>
        <w:tblW w:w="8931" w:type="dxa"/>
        <w:jc w:val="center"/>
        <w:tblLayout w:type="autofit"/>
        <w:tblCellMar>
          <w:top w:w="0" w:type="dxa"/>
          <w:left w:w="0" w:type="dxa"/>
          <w:bottom w:w="0" w:type="dxa"/>
          <w:right w:w="0" w:type="dxa"/>
        </w:tblCellMar>
      </w:tblPr>
      <w:tblGrid>
        <w:gridCol w:w="782"/>
        <w:gridCol w:w="1018"/>
        <w:gridCol w:w="1019"/>
        <w:gridCol w:w="1018"/>
        <w:gridCol w:w="1019"/>
        <w:gridCol w:w="1019"/>
        <w:gridCol w:w="1018"/>
        <w:gridCol w:w="1019"/>
        <w:gridCol w:w="1019"/>
      </w:tblGrid>
      <w:tr w14:paraId="5F8B0CAD">
        <w:tblPrEx>
          <w:tblCellMar>
            <w:top w:w="0" w:type="dxa"/>
            <w:left w:w="0" w:type="dxa"/>
            <w:bottom w:w="0" w:type="dxa"/>
            <w:right w:w="0" w:type="dxa"/>
          </w:tblCellMar>
        </w:tblPrEx>
        <w:trPr>
          <w:trHeight w:val="397" w:hRule="atLeast"/>
          <w:jc w:val="center"/>
        </w:trPr>
        <w:tc>
          <w:tcPr>
            <w:tcW w:w="78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6241227">
            <w:pPr>
              <w:widowControl/>
              <w:adjustRightInd/>
              <w:spacing w:line="240" w:lineRule="auto"/>
              <w:jc w:val="center"/>
              <w:rPr>
                <w:rFonts w:ascii="Times New Roman" w:hAnsi="Times New Roman" w:cs="Times New Roman"/>
              </w:rPr>
            </w:pPr>
            <w:r>
              <w:rPr>
                <w:rFonts w:hint="eastAsia" w:ascii="Times New Roman" w:hAnsi="Times New Roman" w:cs="Times New Roman"/>
              </w:rPr>
              <w:t>序号</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EC89021">
            <w:pPr>
              <w:widowControl/>
              <w:adjustRightInd/>
              <w:spacing w:line="240" w:lineRule="auto"/>
              <w:jc w:val="center"/>
              <w:rPr>
                <w:rFonts w:ascii="Times New Roman" w:hAnsi="Times New Roman" w:cs="Times New Roman"/>
              </w:rPr>
            </w:pPr>
            <w:r>
              <w:rPr>
                <w:rFonts w:hint="eastAsia" w:ascii="Times New Roman" w:hAnsi="Times New Roman" w:cs="Times New Roman"/>
              </w:rPr>
              <w:t>引导词</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05391A4">
            <w:pPr>
              <w:widowControl/>
              <w:adjustRightInd/>
              <w:spacing w:line="240" w:lineRule="auto"/>
              <w:jc w:val="center"/>
              <w:rPr>
                <w:rFonts w:ascii="Times New Roman" w:hAnsi="Times New Roman" w:cs="Times New Roman"/>
              </w:rPr>
            </w:pPr>
            <w:r>
              <w:rPr>
                <w:rFonts w:hint="eastAsia" w:ascii="Times New Roman" w:hAnsi="Times New Roman" w:cs="Times New Roman"/>
              </w:rPr>
              <w:t>参数</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E8F96BA">
            <w:pPr>
              <w:widowControl/>
              <w:adjustRightInd/>
              <w:spacing w:line="240" w:lineRule="auto"/>
              <w:jc w:val="center"/>
              <w:rPr>
                <w:rFonts w:ascii="Times New Roman" w:hAnsi="Times New Roman" w:cs="Times New Roman"/>
              </w:rPr>
            </w:pPr>
            <w:r>
              <w:rPr>
                <w:rFonts w:hint="eastAsia" w:ascii="Times New Roman" w:hAnsi="Times New Roman" w:cs="Times New Roman"/>
              </w:rPr>
              <w:t>偏离</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341FF53">
            <w:pPr>
              <w:widowControl/>
              <w:adjustRightInd/>
              <w:spacing w:line="240" w:lineRule="auto"/>
              <w:jc w:val="center"/>
              <w:rPr>
                <w:rFonts w:ascii="Times New Roman" w:hAnsi="Times New Roman" w:cs="Times New Roman"/>
              </w:rPr>
            </w:pPr>
            <w:r>
              <w:rPr>
                <w:rFonts w:hint="eastAsia" w:ascii="Times New Roman" w:hAnsi="Times New Roman" w:cs="Times New Roman"/>
              </w:rPr>
              <w:t>非正常原因</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5E74DC0">
            <w:pPr>
              <w:widowControl/>
              <w:adjustRightInd/>
              <w:spacing w:line="240" w:lineRule="auto"/>
              <w:jc w:val="center"/>
              <w:rPr>
                <w:rFonts w:ascii="Times New Roman" w:hAnsi="Times New Roman" w:cs="Times New Roman"/>
              </w:rPr>
            </w:pPr>
            <w:r>
              <w:rPr>
                <w:rFonts w:hint="eastAsia" w:ascii="Times New Roman" w:hAnsi="Times New Roman" w:cs="Times New Roman"/>
              </w:rPr>
              <w:t>不利后果</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B5649F4">
            <w:pPr>
              <w:widowControl/>
              <w:adjustRightInd/>
              <w:spacing w:line="240" w:lineRule="auto"/>
              <w:jc w:val="center"/>
              <w:rPr>
                <w:rFonts w:ascii="Times New Roman" w:hAnsi="Times New Roman" w:cs="Times New Roman"/>
              </w:rPr>
            </w:pPr>
            <w:r>
              <w:rPr>
                <w:rFonts w:hint="eastAsia" w:ascii="Times New Roman" w:hAnsi="Times New Roman" w:cs="Times New Roman"/>
              </w:rPr>
              <w:t>现有安全措施</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18B9878">
            <w:pPr>
              <w:widowControl/>
              <w:adjustRightInd/>
              <w:spacing w:line="240" w:lineRule="auto"/>
              <w:jc w:val="center"/>
              <w:rPr>
                <w:rFonts w:ascii="Times New Roman" w:hAnsi="Times New Roman" w:cs="Times New Roman"/>
              </w:rPr>
            </w:pPr>
            <w:r>
              <w:rPr>
                <w:rFonts w:hint="eastAsia" w:ascii="Times New Roman" w:hAnsi="Times New Roman" w:cs="Times New Roman"/>
              </w:rPr>
              <w:t>建议的安全措施</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E7B4F7F">
            <w:pPr>
              <w:widowControl/>
              <w:adjustRightInd/>
              <w:spacing w:line="240" w:lineRule="auto"/>
              <w:jc w:val="center"/>
              <w:rPr>
                <w:rFonts w:ascii="Times New Roman" w:hAnsi="Times New Roman" w:cs="Times New Roman"/>
              </w:rPr>
            </w:pPr>
            <w:r>
              <w:rPr>
                <w:rFonts w:hint="eastAsia" w:ascii="Times New Roman" w:hAnsi="Times New Roman" w:cs="Times New Roman"/>
              </w:rPr>
              <w:t>执行人</w:t>
            </w:r>
          </w:p>
        </w:tc>
      </w:tr>
      <w:tr w14:paraId="7EDA536D">
        <w:tblPrEx>
          <w:tblCellMar>
            <w:top w:w="0" w:type="dxa"/>
            <w:left w:w="0" w:type="dxa"/>
            <w:bottom w:w="0" w:type="dxa"/>
            <w:right w:w="0" w:type="dxa"/>
          </w:tblCellMar>
        </w:tblPrEx>
        <w:trPr>
          <w:trHeight w:val="397" w:hRule="atLeast"/>
          <w:jc w:val="center"/>
        </w:trPr>
        <w:tc>
          <w:tcPr>
            <w:tcW w:w="78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1A7BB9C">
            <w:pPr>
              <w:widowControl/>
              <w:adjustRightInd/>
              <w:spacing w:line="240" w:lineRule="auto"/>
              <w:jc w:val="center"/>
              <w:rPr>
                <w:rFonts w:ascii="Times New Roman" w:hAnsi="Times New Roman" w:cs="Times New Roman"/>
              </w:rPr>
            </w:pPr>
            <w:r>
              <w:rPr>
                <w:rFonts w:hint="eastAsia" w:ascii="Times New Roman" w:hAnsi="Times New Roman" w:cs="Times New Roman"/>
              </w:rPr>
              <w:t>1</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4BDD231">
            <w:pPr>
              <w:widowControl/>
              <w:adjustRightInd/>
              <w:spacing w:line="240" w:lineRule="auto"/>
              <w:jc w:val="center"/>
              <w:rPr>
                <w:rFonts w:ascii="Times New Roman" w:hAnsi="Times New Roman" w:cs="Times New Roman"/>
              </w:rPr>
            </w:pPr>
            <w:r>
              <w:rPr>
                <w:rFonts w:hint="eastAsia" w:ascii="Times New Roman" w:hAnsi="Times New Roman" w:cs="Times New Roman"/>
              </w:rPr>
              <w:t>异常</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C947E26">
            <w:pPr>
              <w:widowControl/>
              <w:adjustRightInd/>
              <w:spacing w:line="240" w:lineRule="auto"/>
              <w:jc w:val="center"/>
              <w:rPr>
                <w:rFonts w:ascii="Times New Roman" w:hAnsi="Times New Roman" w:cs="Times New Roman"/>
              </w:rPr>
            </w:pPr>
            <w:r>
              <w:rPr>
                <w:rFonts w:hint="eastAsia" w:ascii="Times New Roman" w:hAnsi="Times New Roman" w:cs="Times New Roman"/>
              </w:rPr>
              <w:t>温度</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AE31083">
            <w:pPr>
              <w:widowControl/>
              <w:adjustRightInd/>
              <w:spacing w:line="240" w:lineRule="auto"/>
              <w:jc w:val="center"/>
              <w:rPr>
                <w:rFonts w:ascii="Times New Roman" w:hAnsi="Times New Roman" w:cs="Times New Roman"/>
              </w:rPr>
            </w:pPr>
            <w:r>
              <w:rPr>
                <w:rFonts w:hint="eastAsia" w:ascii="Times New Roman" w:hAnsi="Times New Roman" w:cs="Times New Roman"/>
              </w:rPr>
              <w:t>温度过高</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AC0A10C">
            <w:pPr>
              <w:widowControl/>
              <w:adjustRightInd/>
              <w:spacing w:line="240" w:lineRule="auto"/>
              <w:jc w:val="center"/>
              <w:rPr>
                <w:rFonts w:ascii="Times New Roman" w:hAnsi="Times New Roman" w:cs="Times New Roman"/>
              </w:rPr>
            </w:pPr>
            <w:r>
              <w:rPr>
                <w:rFonts w:hint="eastAsia" w:ascii="Times New Roman" w:hAnsi="Times New Roman" w:cs="Times New Roman"/>
              </w:rPr>
              <w:t>电池单体绝缘失效</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21B2E55">
            <w:pPr>
              <w:widowControl/>
              <w:adjustRightInd/>
              <w:spacing w:line="240" w:lineRule="auto"/>
              <w:jc w:val="center"/>
              <w:rPr>
                <w:rFonts w:ascii="Times New Roman" w:hAnsi="Times New Roman" w:cs="Times New Roman"/>
              </w:rPr>
            </w:pPr>
            <w:r>
              <w:rPr>
                <w:rFonts w:hint="eastAsia" w:ascii="Times New Roman" w:hAnsi="Times New Roman" w:cs="Times New Roman"/>
              </w:rPr>
              <w:t>热失控起火</w:t>
            </w: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854C24B">
            <w:pPr>
              <w:widowControl/>
              <w:adjustRightInd/>
              <w:spacing w:line="240" w:lineRule="auto"/>
              <w:jc w:val="center"/>
              <w:rPr>
                <w:rFonts w:ascii="Times New Roman" w:hAnsi="Times New Roman" w:cs="Times New Roman"/>
              </w:rPr>
            </w:pPr>
            <w:r>
              <w:rPr>
                <w:rFonts w:hint="eastAsia" w:ascii="Times New Roman" w:hAnsi="Times New Roman" w:cs="Times New Roman"/>
              </w:rPr>
              <w:t>切断电路</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4764FB8">
            <w:pPr>
              <w:widowControl/>
              <w:adjustRightInd/>
              <w:spacing w:line="240" w:lineRule="auto"/>
              <w:jc w:val="center"/>
              <w:rPr>
                <w:rFonts w:ascii="Times New Roman" w:hAnsi="Times New Roman" w:cs="Times New Roman"/>
              </w:rPr>
            </w:pPr>
            <w:r>
              <w:rPr>
                <w:rFonts w:hint="eastAsia" w:ascii="Times New Roman" w:hAnsi="Times New Roman" w:cs="Times New Roman"/>
              </w:rPr>
              <w:t>切断电路</w:t>
            </w: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0A47155">
            <w:pPr>
              <w:widowControl/>
              <w:adjustRightInd/>
              <w:spacing w:line="240" w:lineRule="auto"/>
              <w:jc w:val="center"/>
              <w:rPr>
                <w:rFonts w:ascii="Times New Roman" w:hAnsi="Times New Roman" w:cs="Times New Roman"/>
              </w:rPr>
            </w:pPr>
            <w:r>
              <w:rPr>
                <w:rFonts w:hint="eastAsia" w:ascii="Times New Roman" w:hAnsi="Times New Roman" w:cs="Times New Roman"/>
              </w:rPr>
              <w:t>张三</w:t>
            </w:r>
          </w:p>
        </w:tc>
      </w:tr>
      <w:tr w14:paraId="3903A13F">
        <w:tblPrEx>
          <w:tblCellMar>
            <w:top w:w="0" w:type="dxa"/>
            <w:left w:w="0" w:type="dxa"/>
            <w:bottom w:w="0" w:type="dxa"/>
            <w:right w:w="0" w:type="dxa"/>
          </w:tblCellMar>
        </w:tblPrEx>
        <w:trPr>
          <w:trHeight w:val="397" w:hRule="atLeast"/>
          <w:jc w:val="center"/>
        </w:trPr>
        <w:tc>
          <w:tcPr>
            <w:tcW w:w="78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CABFD1D">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6EAAFD6">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41A70FD">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FA33E0A">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B3E14D4">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DD37218">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99FE195">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751EAD4">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E8A4DC3">
            <w:pPr>
              <w:widowControl/>
              <w:adjustRightInd/>
              <w:spacing w:line="240" w:lineRule="auto"/>
              <w:jc w:val="center"/>
              <w:rPr>
                <w:rFonts w:ascii="Times New Roman" w:hAnsi="Times New Roman" w:cs="Times New Roman"/>
              </w:rPr>
            </w:pPr>
          </w:p>
        </w:tc>
      </w:tr>
      <w:tr w14:paraId="5BC52F5A">
        <w:tblPrEx>
          <w:tblCellMar>
            <w:top w:w="0" w:type="dxa"/>
            <w:left w:w="0" w:type="dxa"/>
            <w:bottom w:w="0" w:type="dxa"/>
            <w:right w:w="0" w:type="dxa"/>
          </w:tblCellMar>
        </w:tblPrEx>
        <w:trPr>
          <w:trHeight w:val="397" w:hRule="atLeast"/>
          <w:jc w:val="center"/>
        </w:trPr>
        <w:tc>
          <w:tcPr>
            <w:tcW w:w="78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D403072">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71E6208">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ABB55B7">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7D4931B">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2A8F5DD">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9B6EF08">
            <w:pPr>
              <w:widowControl/>
              <w:adjustRightInd/>
              <w:spacing w:line="240" w:lineRule="auto"/>
              <w:jc w:val="center"/>
              <w:rPr>
                <w:rFonts w:ascii="Times New Roman" w:hAnsi="Times New Roman" w:cs="Times New Roman"/>
              </w:rPr>
            </w:pPr>
          </w:p>
        </w:tc>
        <w:tc>
          <w:tcPr>
            <w:tcW w:w="101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0560466">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E0F2389">
            <w:pPr>
              <w:widowControl/>
              <w:adjustRightInd/>
              <w:spacing w:line="240" w:lineRule="auto"/>
              <w:jc w:val="center"/>
              <w:rPr>
                <w:rFonts w:ascii="Times New Roman" w:hAnsi="Times New Roman" w:cs="Times New Roman"/>
              </w:rPr>
            </w:pPr>
          </w:p>
        </w:tc>
        <w:tc>
          <w:tcPr>
            <w:tcW w:w="1019"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395C96F">
            <w:pPr>
              <w:widowControl/>
              <w:adjustRightInd/>
              <w:spacing w:line="240" w:lineRule="auto"/>
              <w:jc w:val="center"/>
              <w:rPr>
                <w:rFonts w:ascii="Times New Roman" w:hAnsi="Times New Roman" w:cs="Times New Roman"/>
              </w:rPr>
            </w:pPr>
          </w:p>
        </w:tc>
      </w:tr>
    </w:tbl>
    <w:p w14:paraId="76B95A32">
      <w:pPr>
        <w:pStyle w:val="44"/>
        <w:spacing w:before="156" w:after="156"/>
        <w:ind w:firstLine="420"/>
        <w:rPr>
          <w:rFonts w:cs="Times New Roman"/>
        </w:rPr>
      </w:pPr>
    </w:p>
    <w:p w14:paraId="44154078">
      <w:pPr>
        <w:pStyle w:val="107"/>
        <w:spacing w:before="156" w:after="156"/>
        <w:rPr>
          <w:rFonts w:cs="Times New Roman"/>
        </w:rPr>
      </w:pPr>
      <w:bookmarkStart w:id="59" w:name="_Toc130762940"/>
      <w:bookmarkStart w:id="60" w:name="_Toc26465"/>
      <w:r>
        <w:rPr>
          <w:rFonts w:hint="eastAsia" w:cs="Times New Roman"/>
        </w:rPr>
        <w:t>表</w:t>
      </w:r>
      <w:r>
        <w:rPr>
          <w:rFonts w:cs="Times New Roman"/>
        </w:rPr>
        <w:t>D.2 HAZOP</w:t>
      </w:r>
      <w:r>
        <w:rPr>
          <w:rFonts w:hint="eastAsia" w:cs="Times New Roman"/>
        </w:rPr>
        <w:t>分析引导词及其含义表</w:t>
      </w:r>
      <w:bookmarkEnd w:id="59"/>
      <w:bookmarkEnd w:id="60"/>
    </w:p>
    <w:tbl>
      <w:tblPr>
        <w:tblStyle w:val="22"/>
        <w:tblW w:w="5670" w:type="dxa"/>
        <w:jc w:val="center"/>
        <w:tblLayout w:type="autofit"/>
        <w:tblCellMar>
          <w:top w:w="0" w:type="dxa"/>
          <w:left w:w="0" w:type="dxa"/>
          <w:bottom w:w="0" w:type="dxa"/>
          <w:right w:w="0" w:type="dxa"/>
        </w:tblCellMar>
      </w:tblPr>
      <w:tblGrid>
        <w:gridCol w:w="1985"/>
        <w:gridCol w:w="3685"/>
      </w:tblGrid>
      <w:tr w14:paraId="6E2166D8">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35ADD80">
            <w:pPr>
              <w:widowControl/>
              <w:adjustRightInd/>
              <w:spacing w:line="240" w:lineRule="auto"/>
              <w:jc w:val="left"/>
              <w:rPr>
                <w:rFonts w:ascii="Times New Roman" w:hAnsi="Times New Roman" w:cs="Times New Roman"/>
              </w:rPr>
            </w:pPr>
            <w:r>
              <w:rPr>
                <w:rFonts w:hint="eastAsia" w:ascii="Times New Roman" w:hAnsi="Times New Roman" w:cs="Times New Roman"/>
              </w:rPr>
              <w:t>引导词</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DE40F8F">
            <w:pPr>
              <w:widowControl/>
              <w:adjustRightInd/>
              <w:spacing w:line="240" w:lineRule="auto"/>
              <w:jc w:val="left"/>
              <w:rPr>
                <w:rFonts w:ascii="Times New Roman" w:hAnsi="Times New Roman" w:cs="Times New Roman"/>
              </w:rPr>
            </w:pPr>
            <w:r>
              <w:rPr>
                <w:rFonts w:hint="eastAsia" w:ascii="Times New Roman" w:hAnsi="Times New Roman" w:cs="Times New Roman"/>
              </w:rPr>
              <w:t>含义</w:t>
            </w:r>
          </w:p>
        </w:tc>
      </w:tr>
      <w:tr w14:paraId="13504B9E">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AC98E6D">
            <w:pPr>
              <w:widowControl/>
              <w:adjustRightInd/>
              <w:spacing w:line="240" w:lineRule="auto"/>
              <w:jc w:val="left"/>
              <w:rPr>
                <w:rFonts w:ascii="Times New Roman" w:hAnsi="Times New Roman" w:cs="Times New Roman"/>
              </w:rPr>
            </w:pPr>
            <w:r>
              <w:rPr>
                <w:rFonts w:ascii="Times New Roman" w:hAnsi="Times New Roman" w:cs="Times New Roman"/>
              </w:rPr>
              <w:t>NONE（</w:t>
            </w:r>
            <w:r>
              <w:rPr>
                <w:rFonts w:hint="eastAsia" w:ascii="Times New Roman" w:hAnsi="Times New Roman" w:cs="Times New Roman"/>
              </w:rPr>
              <w:t>空白</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6296ADC">
            <w:pPr>
              <w:widowControl/>
              <w:adjustRightInd/>
              <w:spacing w:line="240" w:lineRule="auto"/>
              <w:jc w:val="left"/>
              <w:rPr>
                <w:rFonts w:ascii="Times New Roman" w:hAnsi="Times New Roman" w:cs="Times New Roman"/>
              </w:rPr>
            </w:pPr>
            <w:r>
              <w:rPr>
                <w:rFonts w:hint="eastAsia" w:ascii="Times New Roman" w:hAnsi="Times New Roman" w:cs="Times New Roman"/>
              </w:rPr>
              <w:t>设计或操作要求的指标和事件完全不发生</w:t>
            </w:r>
          </w:p>
        </w:tc>
      </w:tr>
      <w:tr w14:paraId="089E32B4">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664D3CE">
            <w:pPr>
              <w:widowControl/>
              <w:adjustRightInd/>
              <w:spacing w:line="240" w:lineRule="auto"/>
              <w:jc w:val="left"/>
              <w:rPr>
                <w:rFonts w:ascii="Times New Roman" w:hAnsi="Times New Roman" w:cs="Times New Roman"/>
              </w:rPr>
            </w:pPr>
            <w:r>
              <w:rPr>
                <w:rFonts w:ascii="Times New Roman" w:hAnsi="Times New Roman" w:cs="Times New Roman"/>
              </w:rPr>
              <w:t>MORE</w:t>
            </w:r>
            <w:r>
              <w:rPr>
                <w:rFonts w:hint="eastAsia" w:ascii="Times New Roman" w:hAnsi="Times New Roman" w:cs="Times New Roman"/>
              </w:rPr>
              <w:t>（过量）</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FF70DB1">
            <w:pPr>
              <w:widowControl/>
              <w:adjustRightInd/>
              <w:spacing w:line="240" w:lineRule="auto"/>
              <w:jc w:val="left"/>
              <w:rPr>
                <w:rFonts w:ascii="Times New Roman" w:hAnsi="Times New Roman" w:cs="Times New Roman"/>
              </w:rPr>
            </w:pPr>
            <w:r>
              <w:rPr>
                <w:rFonts w:hint="eastAsia" w:ascii="Times New Roman" w:hAnsi="Times New Roman" w:cs="Times New Roman"/>
              </w:rPr>
              <w:t>同标准值相比，数值偏大</w:t>
            </w:r>
          </w:p>
        </w:tc>
      </w:tr>
      <w:tr w14:paraId="3CF4C7C1">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56A766D">
            <w:pPr>
              <w:widowControl/>
              <w:adjustRightInd/>
              <w:spacing w:line="240" w:lineRule="auto"/>
              <w:jc w:val="left"/>
              <w:rPr>
                <w:rFonts w:ascii="Times New Roman" w:hAnsi="Times New Roman" w:cs="Times New Roman"/>
              </w:rPr>
            </w:pPr>
            <w:r>
              <w:rPr>
                <w:rFonts w:ascii="Times New Roman" w:hAnsi="Times New Roman" w:cs="Times New Roman"/>
              </w:rPr>
              <w:t>LESS（</w:t>
            </w:r>
            <w:r>
              <w:rPr>
                <w:rFonts w:hint="eastAsia" w:ascii="Times New Roman" w:hAnsi="Times New Roman" w:cs="Times New Roman"/>
              </w:rPr>
              <w:t>减量</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6F3F4B1">
            <w:pPr>
              <w:widowControl/>
              <w:adjustRightInd/>
              <w:spacing w:line="240" w:lineRule="auto"/>
              <w:jc w:val="left"/>
              <w:rPr>
                <w:rFonts w:ascii="Times New Roman" w:hAnsi="Times New Roman" w:cs="Times New Roman"/>
              </w:rPr>
            </w:pPr>
            <w:r>
              <w:rPr>
                <w:rFonts w:hint="eastAsia" w:ascii="Times New Roman" w:hAnsi="Times New Roman" w:cs="Times New Roman"/>
              </w:rPr>
              <w:t>同标准值相比，数值偏小</w:t>
            </w:r>
          </w:p>
        </w:tc>
      </w:tr>
      <w:tr w14:paraId="040D7733">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A00BF0C">
            <w:pPr>
              <w:widowControl/>
              <w:adjustRightInd/>
              <w:spacing w:line="240" w:lineRule="auto"/>
              <w:jc w:val="left"/>
              <w:rPr>
                <w:rFonts w:ascii="Times New Roman" w:hAnsi="Times New Roman" w:cs="Times New Roman"/>
              </w:rPr>
            </w:pPr>
            <w:r>
              <w:rPr>
                <w:rFonts w:ascii="Times New Roman" w:hAnsi="Times New Roman" w:cs="Times New Roman"/>
              </w:rPr>
              <w:t>AS WELLAS（</w:t>
            </w:r>
            <w:r>
              <w:rPr>
                <w:rFonts w:hint="eastAsia" w:ascii="Times New Roman" w:hAnsi="Times New Roman" w:cs="Times New Roman"/>
              </w:rPr>
              <w:t>伴随</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40435BC">
            <w:pPr>
              <w:widowControl/>
              <w:adjustRightInd/>
              <w:spacing w:line="240" w:lineRule="auto"/>
              <w:jc w:val="left"/>
              <w:rPr>
                <w:rFonts w:ascii="Times New Roman" w:hAnsi="Times New Roman" w:cs="Times New Roman"/>
              </w:rPr>
            </w:pPr>
            <w:r>
              <w:rPr>
                <w:rFonts w:hint="eastAsia" w:ascii="Times New Roman" w:hAnsi="Times New Roman" w:cs="Times New Roman"/>
              </w:rPr>
              <w:t>在完成既定功能的同时，伴随多余时间发生</w:t>
            </w:r>
          </w:p>
        </w:tc>
      </w:tr>
      <w:tr w14:paraId="01D97B0D">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70E2C42">
            <w:pPr>
              <w:widowControl/>
              <w:adjustRightInd/>
              <w:spacing w:line="240" w:lineRule="auto"/>
              <w:jc w:val="left"/>
              <w:rPr>
                <w:rFonts w:ascii="Times New Roman" w:hAnsi="Times New Roman" w:cs="Times New Roman"/>
              </w:rPr>
            </w:pPr>
            <w:r>
              <w:rPr>
                <w:rFonts w:ascii="Times New Roman" w:hAnsi="Times New Roman" w:cs="Times New Roman"/>
              </w:rPr>
              <w:t>PART OF（</w:t>
            </w:r>
            <w:r>
              <w:rPr>
                <w:rFonts w:hint="eastAsia" w:ascii="Times New Roman" w:hAnsi="Times New Roman" w:cs="Times New Roman"/>
              </w:rPr>
              <w:t>部分</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922B2BF">
            <w:pPr>
              <w:widowControl/>
              <w:adjustRightInd/>
              <w:spacing w:line="240" w:lineRule="auto"/>
              <w:jc w:val="left"/>
              <w:rPr>
                <w:rFonts w:ascii="Times New Roman" w:hAnsi="Times New Roman" w:cs="Times New Roman"/>
              </w:rPr>
            </w:pPr>
            <w:r>
              <w:rPr>
                <w:rFonts w:hint="eastAsia" w:ascii="Times New Roman" w:hAnsi="Times New Roman" w:cs="Times New Roman"/>
              </w:rPr>
              <w:t>只完成既定功能的一部分</w:t>
            </w:r>
          </w:p>
        </w:tc>
      </w:tr>
      <w:tr w14:paraId="0DF2559D">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F227B8F">
            <w:pPr>
              <w:widowControl/>
              <w:adjustRightInd/>
              <w:spacing w:line="240" w:lineRule="auto"/>
              <w:jc w:val="left"/>
              <w:rPr>
                <w:rFonts w:ascii="Times New Roman" w:hAnsi="Times New Roman" w:cs="Times New Roman"/>
              </w:rPr>
            </w:pPr>
            <w:r>
              <w:rPr>
                <w:rFonts w:ascii="Times New Roman" w:hAnsi="Times New Roman" w:cs="Times New Roman"/>
              </w:rPr>
              <w:t>REVERSE（</w:t>
            </w:r>
            <w:r>
              <w:rPr>
                <w:rFonts w:hint="eastAsia" w:ascii="Times New Roman" w:hAnsi="Times New Roman" w:cs="Times New Roman"/>
              </w:rPr>
              <w:t>相逆</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FE46605">
            <w:pPr>
              <w:widowControl/>
              <w:adjustRightInd/>
              <w:spacing w:line="240" w:lineRule="auto"/>
              <w:jc w:val="left"/>
              <w:rPr>
                <w:rFonts w:ascii="Times New Roman" w:hAnsi="Times New Roman" w:cs="Times New Roman"/>
              </w:rPr>
            </w:pPr>
            <w:r>
              <w:rPr>
                <w:rFonts w:hint="eastAsia" w:ascii="Times New Roman" w:hAnsi="Times New Roman" w:cs="Times New Roman"/>
              </w:rPr>
              <w:t>出现和设计要求完全相反的事或物</w:t>
            </w:r>
          </w:p>
        </w:tc>
      </w:tr>
      <w:tr w14:paraId="09673656">
        <w:tblPrEx>
          <w:tblCellMar>
            <w:top w:w="0" w:type="dxa"/>
            <w:left w:w="0" w:type="dxa"/>
            <w:bottom w:w="0" w:type="dxa"/>
            <w:right w:w="0" w:type="dxa"/>
          </w:tblCellMar>
        </w:tblPrEx>
        <w:trPr>
          <w:trHeight w:val="397" w:hRule="atLeast"/>
          <w:jc w:val="center"/>
        </w:trPr>
        <w:tc>
          <w:tcPr>
            <w:tcW w:w="262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191CB79">
            <w:pPr>
              <w:widowControl/>
              <w:adjustRightInd/>
              <w:spacing w:line="240" w:lineRule="auto"/>
              <w:jc w:val="left"/>
              <w:rPr>
                <w:rFonts w:ascii="Times New Roman" w:hAnsi="Times New Roman" w:cs="Times New Roman"/>
              </w:rPr>
            </w:pPr>
            <w:r>
              <w:rPr>
                <w:rFonts w:ascii="Times New Roman" w:hAnsi="Times New Roman" w:cs="Times New Roman"/>
              </w:rPr>
              <w:t>OTHER THAN（</w:t>
            </w:r>
            <w:r>
              <w:rPr>
                <w:rFonts w:hint="eastAsia" w:ascii="Times New Roman" w:hAnsi="Times New Roman" w:cs="Times New Roman"/>
              </w:rPr>
              <w:t>异常</w:t>
            </w:r>
            <w:r>
              <w:rPr>
                <w:rFonts w:ascii="Times New Roman" w:hAnsi="Times New Roman" w:cs="Times New Roman"/>
              </w:rPr>
              <w:t>）</w:t>
            </w:r>
          </w:p>
        </w:tc>
        <w:tc>
          <w:tcPr>
            <w:tcW w:w="616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5FA7114">
            <w:pPr>
              <w:widowControl/>
              <w:adjustRightInd/>
              <w:spacing w:line="240" w:lineRule="auto"/>
              <w:jc w:val="left"/>
              <w:rPr>
                <w:rFonts w:ascii="Times New Roman" w:hAnsi="Times New Roman" w:cs="Times New Roman"/>
              </w:rPr>
            </w:pPr>
            <w:r>
              <w:rPr>
                <w:rFonts w:hint="eastAsia" w:ascii="Times New Roman" w:hAnsi="Times New Roman" w:cs="Times New Roman"/>
              </w:rPr>
              <w:t>出现和设计要求不相同的事或物</w:t>
            </w:r>
          </w:p>
        </w:tc>
      </w:tr>
    </w:tbl>
    <w:p w14:paraId="47193278">
      <w:pPr>
        <w:widowControl/>
        <w:adjustRightInd/>
        <w:spacing w:line="240" w:lineRule="auto"/>
        <w:jc w:val="left"/>
        <w:rPr>
          <w:rFonts w:ascii="Times New Roman" w:hAnsi="Times New Roman" w:cs="Times New Roman"/>
        </w:rPr>
      </w:pPr>
    </w:p>
    <w:p w14:paraId="781F128F">
      <w:pPr>
        <w:widowControl/>
        <w:adjustRightInd/>
        <w:spacing w:line="240" w:lineRule="auto"/>
        <w:jc w:val="left"/>
        <w:rPr>
          <w:rFonts w:ascii="Times New Roman" w:hAnsi="Times New Roman" w:eastAsia="黑体" w:cs="Times New Roman"/>
          <w:bCs/>
          <w:szCs w:val="32"/>
        </w:rPr>
      </w:pPr>
      <w:r>
        <w:rPr>
          <w:rFonts w:ascii="Times New Roman" w:hAnsi="Times New Roman" w:cs="Times New Roman"/>
        </w:rPr>
        <w:br w:type="page"/>
      </w:r>
    </w:p>
    <w:p w14:paraId="2EAD195A">
      <w:pPr>
        <w:pStyle w:val="90"/>
        <w:numPr>
          <w:ilvl w:val="0"/>
          <w:numId w:val="0"/>
        </w:numPr>
        <w:rPr>
          <w:rFonts w:ascii="Times New Roman"/>
        </w:rPr>
      </w:pPr>
      <w:bookmarkStart w:id="61" w:name="_Toc130762930"/>
      <w:r>
        <w:rPr>
          <w:rFonts w:hint="eastAsia" w:ascii="Times New Roman"/>
        </w:rPr>
        <w:t>附</w:t>
      </w:r>
      <w:r>
        <w:rPr>
          <w:rFonts w:ascii="Times New Roman"/>
        </w:rPr>
        <w:t xml:space="preserve"> </w:t>
      </w:r>
      <w:r>
        <w:rPr>
          <w:rFonts w:hint="eastAsia" w:ascii="Times New Roman"/>
        </w:rPr>
        <w:t>录</w:t>
      </w:r>
      <w:r>
        <w:rPr>
          <w:rFonts w:ascii="Times New Roman"/>
        </w:rPr>
        <w:t xml:space="preserve"> E</w:t>
      </w:r>
      <w:r>
        <w:rPr>
          <w:rFonts w:ascii="Times New Roman"/>
        </w:rPr>
        <w:br w:type="textWrapping"/>
      </w:r>
      <w:r>
        <w:rPr>
          <w:rFonts w:hint="eastAsia" w:ascii="Times New Roman"/>
        </w:rPr>
        <w:t>（资料性附录）</w:t>
      </w:r>
      <w:r>
        <w:rPr>
          <w:rFonts w:ascii="Times New Roman"/>
        </w:rPr>
        <w:br w:type="textWrapping"/>
      </w:r>
      <w:r>
        <w:rPr>
          <w:rFonts w:hint="eastAsia" w:ascii="Times New Roman"/>
        </w:rPr>
        <w:t>失效模式与影响性分析法</w:t>
      </w:r>
      <w:bookmarkEnd w:id="61"/>
    </w:p>
    <w:p w14:paraId="058F4835">
      <w:pPr>
        <w:pStyle w:val="107"/>
        <w:spacing w:before="156" w:after="156"/>
        <w:rPr>
          <w:rFonts w:cs="Times New Roman"/>
        </w:rPr>
      </w:pPr>
      <w:bookmarkStart w:id="62" w:name="_Toc130762941"/>
      <w:bookmarkStart w:id="63" w:name="_Toc10124"/>
      <w:r>
        <w:rPr>
          <w:rFonts w:hint="eastAsia" w:cs="Times New Roman"/>
        </w:rPr>
        <w:t>表</w:t>
      </w:r>
      <w:r>
        <w:rPr>
          <w:rFonts w:cs="Times New Roman"/>
        </w:rPr>
        <w:t xml:space="preserve">E.1 </w:t>
      </w:r>
      <w:r>
        <w:rPr>
          <w:rFonts w:hint="eastAsia" w:cs="Times New Roman"/>
        </w:rPr>
        <w:t>过程失效模式和影响分析表</w:t>
      </w:r>
      <w:bookmarkEnd w:id="62"/>
      <w:r>
        <w:rPr>
          <w:rFonts w:hint="eastAsia" w:cs="Times New Roman"/>
        </w:rPr>
        <w:t>示例</w:t>
      </w:r>
      <w:bookmarkEnd w:id="63"/>
    </w:p>
    <w:tbl>
      <w:tblPr>
        <w:tblStyle w:val="22"/>
        <w:tblW w:w="8787" w:type="dxa"/>
        <w:jc w:val="center"/>
        <w:tblLayout w:type="autofit"/>
        <w:tblCellMar>
          <w:top w:w="0" w:type="dxa"/>
          <w:left w:w="0" w:type="dxa"/>
          <w:bottom w:w="0" w:type="dxa"/>
          <w:right w:w="0" w:type="dxa"/>
        </w:tblCellMar>
      </w:tblPr>
      <w:tblGrid>
        <w:gridCol w:w="568"/>
        <w:gridCol w:w="835"/>
        <w:gridCol w:w="556"/>
        <w:gridCol w:w="546"/>
        <w:gridCol w:w="557"/>
        <w:gridCol w:w="550"/>
        <w:gridCol w:w="594"/>
        <w:gridCol w:w="574"/>
        <w:gridCol w:w="715"/>
        <w:gridCol w:w="550"/>
        <w:gridCol w:w="550"/>
        <w:gridCol w:w="473"/>
        <w:gridCol w:w="502"/>
        <w:gridCol w:w="502"/>
        <w:gridCol w:w="715"/>
      </w:tblGrid>
      <w:tr w14:paraId="5F8EB5EE">
        <w:tblPrEx>
          <w:tblCellMar>
            <w:top w:w="0" w:type="dxa"/>
            <w:left w:w="0" w:type="dxa"/>
            <w:bottom w:w="0" w:type="dxa"/>
            <w:right w:w="0" w:type="dxa"/>
          </w:tblCellMar>
        </w:tblPrEx>
        <w:trPr>
          <w:trHeight w:val="397" w:hRule="atLeast"/>
          <w:jc w:val="center"/>
        </w:trPr>
        <w:tc>
          <w:tcPr>
            <w:tcW w:w="568"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3309527">
            <w:pPr>
              <w:pStyle w:val="44"/>
              <w:spacing w:before="156" w:after="156"/>
              <w:ind w:firstLine="0" w:firstLineChars="0"/>
              <w:jc w:val="center"/>
              <w:rPr>
                <w:rFonts w:cs="Times New Roman"/>
              </w:rPr>
            </w:pPr>
            <w:r>
              <w:rPr>
                <w:rFonts w:cs="Times New Roman"/>
              </w:rPr>
              <w:t>功能</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420B9FB">
            <w:pPr>
              <w:pStyle w:val="44"/>
              <w:spacing w:before="156" w:after="156"/>
              <w:ind w:firstLine="0" w:firstLineChars="0"/>
              <w:jc w:val="center"/>
              <w:rPr>
                <w:rFonts w:cs="Times New Roman"/>
              </w:rPr>
            </w:pPr>
            <w:r>
              <w:rPr>
                <w:rFonts w:cs="Times New Roman"/>
              </w:rPr>
              <w:t>失效模式</w:t>
            </w:r>
          </w:p>
        </w:tc>
        <w:tc>
          <w:tcPr>
            <w:tcW w:w="556"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E17DBFA">
            <w:pPr>
              <w:pStyle w:val="44"/>
              <w:spacing w:before="156" w:after="156"/>
              <w:ind w:firstLine="0" w:firstLineChars="0"/>
              <w:jc w:val="center"/>
              <w:rPr>
                <w:rFonts w:cs="Times New Roman"/>
              </w:rPr>
            </w:pPr>
            <w:r>
              <w:rPr>
                <w:rFonts w:cs="Times New Roman"/>
              </w:rPr>
              <w:t>失效影响</w:t>
            </w:r>
          </w:p>
        </w:tc>
        <w:tc>
          <w:tcPr>
            <w:tcW w:w="546"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578D0E9">
            <w:pPr>
              <w:pStyle w:val="44"/>
              <w:spacing w:before="156" w:after="156"/>
              <w:ind w:firstLine="0" w:firstLineChars="0"/>
              <w:jc w:val="center"/>
              <w:rPr>
                <w:rFonts w:cs="Times New Roman"/>
              </w:rPr>
            </w:pPr>
            <w:r>
              <w:rPr>
                <w:rFonts w:cs="Times New Roman"/>
              </w:rPr>
              <w:t>严重度</w:t>
            </w:r>
          </w:p>
        </w:tc>
        <w:tc>
          <w:tcPr>
            <w:tcW w:w="557"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D7C547D">
            <w:pPr>
              <w:pStyle w:val="44"/>
              <w:spacing w:before="156" w:after="156"/>
              <w:ind w:firstLine="0" w:firstLineChars="0"/>
              <w:jc w:val="center"/>
              <w:rPr>
                <w:rFonts w:cs="Times New Roman"/>
              </w:rPr>
            </w:pPr>
            <w:r>
              <w:rPr>
                <w:rFonts w:cs="Times New Roman"/>
              </w:rPr>
              <w:t>失效原因</w:t>
            </w:r>
          </w:p>
        </w:tc>
        <w:tc>
          <w:tcPr>
            <w:tcW w:w="550"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12926EE">
            <w:pPr>
              <w:pStyle w:val="44"/>
              <w:spacing w:before="156" w:after="156"/>
              <w:ind w:firstLine="0" w:firstLineChars="0"/>
              <w:jc w:val="center"/>
              <w:rPr>
                <w:rFonts w:cs="Times New Roman"/>
              </w:rPr>
            </w:pPr>
            <w:r>
              <w:rPr>
                <w:rFonts w:cs="Times New Roman"/>
              </w:rPr>
              <w:t>发生概率</w:t>
            </w:r>
          </w:p>
        </w:tc>
        <w:tc>
          <w:tcPr>
            <w:tcW w:w="594"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2EC5D47">
            <w:pPr>
              <w:pStyle w:val="44"/>
              <w:spacing w:before="156" w:after="156"/>
              <w:ind w:firstLine="0" w:firstLineChars="0"/>
              <w:jc w:val="center"/>
              <w:rPr>
                <w:rFonts w:cs="Times New Roman"/>
              </w:rPr>
            </w:pPr>
            <w:r>
              <w:rPr>
                <w:rFonts w:cs="Times New Roman"/>
              </w:rPr>
              <w:t>当前控制方法</w:t>
            </w:r>
          </w:p>
        </w:tc>
        <w:tc>
          <w:tcPr>
            <w:tcW w:w="574"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8FD2524">
            <w:pPr>
              <w:pStyle w:val="44"/>
              <w:spacing w:before="156" w:after="156"/>
              <w:ind w:firstLine="0" w:firstLineChars="0"/>
              <w:jc w:val="center"/>
              <w:rPr>
                <w:rFonts w:cs="Times New Roman"/>
              </w:rPr>
            </w:pPr>
            <w:r>
              <w:rPr>
                <w:rFonts w:cs="Times New Roman"/>
              </w:rPr>
              <w:t>可侦测性</w:t>
            </w:r>
          </w:p>
        </w:tc>
        <w:tc>
          <w:tcPr>
            <w:tcW w:w="715"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EA87C50">
            <w:pPr>
              <w:pStyle w:val="44"/>
              <w:spacing w:before="156" w:after="156"/>
              <w:ind w:firstLine="0" w:firstLineChars="0"/>
              <w:jc w:val="center"/>
              <w:rPr>
                <w:rFonts w:cs="Times New Roman"/>
              </w:rPr>
            </w:pPr>
            <w:r>
              <w:rPr>
                <w:rFonts w:cs="Times New Roman"/>
              </w:rPr>
              <w:t>RPN</w:t>
            </w:r>
          </w:p>
        </w:tc>
        <w:tc>
          <w:tcPr>
            <w:tcW w:w="550" w:type="dxa"/>
            <w:vMerge w:val="restart"/>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E7A54D3">
            <w:pPr>
              <w:pStyle w:val="44"/>
              <w:spacing w:before="156" w:after="156"/>
              <w:ind w:firstLine="0" w:firstLineChars="0"/>
              <w:jc w:val="center"/>
              <w:rPr>
                <w:rFonts w:cs="Times New Roman"/>
              </w:rPr>
            </w:pPr>
            <w:r>
              <w:rPr>
                <w:rFonts w:cs="Times New Roman"/>
              </w:rPr>
              <w:t>建议采取的措施</w:t>
            </w:r>
          </w:p>
        </w:tc>
        <w:tc>
          <w:tcPr>
            <w:tcW w:w="2742" w:type="dxa"/>
            <w:gridSpan w:val="5"/>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1E627D7">
            <w:pPr>
              <w:pStyle w:val="44"/>
              <w:spacing w:before="156" w:after="156"/>
              <w:ind w:firstLine="0" w:firstLineChars="0"/>
              <w:jc w:val="center"/>
              <w:rPr>
                <w:rFonts w:cs="Times New Roman"/>
              </w:rPr>
            </w:pPr>
            <w:r>
              <w:rPr>
                <w:rFonts w:cs="Times New Roman"/>
              </w:rPr>
              <w:t>结果</w:t>
            </w:r>
          </w:p>
        </w:tc>
      </w:tr>
      <w:tr w14:paraId="2291F66B">
        <w:tblPrEx>
          <w:tblCellMar>
            <w:top w:w="0" w:type="dxa"/>
            <w:left w:w="0" w:type="dxa"/>
            <w:bottom w:w="0" w:type="dxa"/>
            <w:right w:w="0" w:type="dxa"/>
          </w:tblCellMar>
        </w:tblPrEx>
        <w:trPr>
          <w:trHeight w:val="397" w:hRule="atLeast"/>
          <w:jc w:val="center"/>
        </w:trPr>
        <w:tc>
          <w:tcPr>
            <w:tcW w:w="568" w:type="dxa"/>
            <w:vMerge w:val="continue"/>
            <w:tcBorders>
              <w:top w:val="single" w:color="000000" w:sz="8" w:space="0"/>
              <w:left w:val="single" w:color="000000" w:sz="8" w:space="0"/>
              <w:bottom w:val="single" w:color="000000" w:sz="8" w:space="0"/>
              <w:right w:val="single" w:color="000000" w:sz="8" w:space="0"/>
            </w:tcBorders>
            <w:vAlign w:val="center"/>
          </w:tcPr>
          <w:p w14:paraId="74381933">
            <w:pPr>
              <w:pStyle w:val="44"/>
              <w:spacing w:before="156" w:after="156"/>
              <w:ind w:firstLine="0" w:firstLineChars="0"/>
              <w:jc w:val="center"/>
              <w:rPr>
                <w:rFonts w:cs="Times New Roman"/>
              </w:rPr>
            </w:pPr>
          </w:p>
        </w:tc>
        <w:tc>
          <w:tcPr>
            <w:tcW w:w="835" w:type="dxa"/>
            <w:vMerge w:val="continue"/>
            <w:tcBorders>
              <w:top w:val="single" w:color="000000" w:sz="8" w:space="0"/>
              <w:left w:val="single" w:color="000000" w:sz="8" w:space="0"/>
              <w:bottom w:val="single" w:color="000000" w:sz="8" w:space="0"/>
              <w:right w:val="single" w:color="000000" w:sz="8" w:space="0"/>
            </w:tcBorders>
            <w:vAlign w:val="center"/>
          </w:tcPr>
          <w:p w14:paraId="555DF80F">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90789D">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C891F6A">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522AFF">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287F65">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06EAE2D">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999F58">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339DCC">
            <w:pPr>
              <w:pStyle w:val="44"/>
              <w:spacing w:before="156" w:after="156"/>
              <w:ind w:firstLine="0" w:firstLineChars="0"/>
              <w:jc w:val="center"/>
              <w:rPr>
                <w:rFonts w:cs="Times New Roman"/>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378908D">
            <w:pPr>
              <w:pStyle w:val="44"/>
              <w:spacing w:before="156" w:after="156"/>
              <w:ind w:firstLine="0" w:firstLineChars="0"/>
              <w:jc w:val="center"/>
              <w:rPr>
                <w:rFonts w:cs="Times New Roman"/>
              </w:rPr>
            </w:pP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105C418">
            <w:pPr>
              <w:pStyle w:val="44"/>
              <w:spacing w:before="156" w:after="156"/>
              <w:ind w:firstLine="0" w:firstLineChars="0"/>
              <w:jc w:val="center"/>
              <w:rPr>
                <w:rFonts w:cs="Times New Roman"/>
              </w:rPr>
            </w:pPr>
            <w:r>
              <w:rPr>
                <w:rFonts w:cs="Times New Roman"/>
              </w:rPr>
              <w:t>采取的措施</w:t>
            </w:r>
          </w:p>
        </w:tc>
        <w:tc>
          <w:tcPr>
            <w:tcW w:w="473"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7B1C19A">
            <w:pPr>
              <w:pStyle w:val="44"/>
              <w:spacing w:before="156" w:after="156"/>
              <w:ind w:firstLine="0" w:firstLineChars="0"/>
              <w:jc w:val="center"/>
              <w:rPr>
                <w:rFonts w:cs="Times New Roman"/>
              </w:rPr>
            </w:pPr>
            <w:r>
              <w:rPr>
                <w:rFonts w:cs="Times New Roman"/>
              </w:rPr>
              <w:t>S</w:t>
            </w: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36E3691">
            <w:pPr>
              <w:pStyle w:val="44"/>
              <w:spacing w:before="156" w:after="156"/>
              <w:ind w:firstLine="0" w:firstLineChars="0"/>
              <w:jc w:val="center"/>
              <w:rPr>
                <w:rFonts w:cs="Times New Roman"/>
              </w:rPr>
            </w:pPr>
            <w:r>
              <w:rPr>
                <w:rFonts w:cs="Times New Roman"/>
              </w:rPr>
              <w:t>O</w:t>
            </w: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D4B8A37">
            <w:pPr>
              <w:pStyle w:val="44"/>
              <w:spacing w:before="156" w:after="156"/>
              <w:ind w:firstLine="0" w:firstLineChars="0"/>
              <w:jc w:val="center"/>
              <w:rPr>
                <w:rFonts w:cs="Times New Roman"/>
              </w:rPr>
            </w:pPr>
            <w:r>
              <w:rPr>
                <w:rFonts w:cs="Times New Roman"/>
              </w:rPr>
              <w:t>D</w:t>
            </w:r>
          </w:p>
        </w:tc>
        <w:tc>
          <w:tcPr>
            <w:tcW w:w="71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EF64FF5">
            <w:pPr>
              <w:pStyle w:val="44"/>
              <w:spacing w:before="156" w:after="156"/>
              <w:ind w:firstLine="0" w:firstLineChars="0"/>
              <w:jc w:val="center"/>
              <w:rPr>
                <w:rFonts w:cs="Times New Roman"/>
              </w:rPr>
            </w:pPr>
            <w:r>
              <w:rPr>
                <w:rFonts w:cs="Times New Roman"/>
              </w:rPr>
              <w:t>RPN</w:t>
            </w:r>
          </w:p>
        </w:tc>
      </w:tr>
      <w:tr w14:paraId="273710AE">
        <w:tblPrEx>
          <w:tblCellMar>
            <w:top w:w="0" w:type="dxa"/>
            <w:left w:w="0" w:type="dxa"/>
            <w:bottom w:w="0" w:type="dxa"/>
            <w:right w:w="0" w:type="dxa"/>
          </w:tblCellMar>
        </w:tblPrEx>
        <w:trPr>
          <w:trHeight w:val="397" w:hRule="atLeast"/>
          <w:jc w:val="center"/>
        </w:trPr>
        <w:tc>
          <w:tcPr>
            <w:tcW w:w="56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AF71AF5">
            <w:pPr>
              <w:pStyle w:val="44"/>
              <w:spacing w:before="156" w:after="156"/>
              <w:ind w:firstLine="0" w:firstLineChars="0"/>
              <w:jc w:val="center"/>
              <w:rPr>
                <w:rFonts w:cs="Times New Roman"/>
              </w:rPr>
            </w:pPr>
            <w:r>
              <w:rPr>
                <w:rFonts w:hint="eastAsia" w:cs="Times New Roman"/>
              </w:rPr>
              <w:t>储能</w:t>
            </w:r>
          </w:p>
        </w:tc>
        <w:tc>
          <w:tcPr>
            <w:tcW w:w="83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3D8CA4F">
            <w:pPr>
              <w:pStyle w:val="44"/>
              <w:spacing w:before="156" w:after="156"/>
              <w:ind w:firstLine="0" w:firstLineChars="0"/>
              <w:jc w:val="center"/>
              <w:rPr>
                <w:rFonts w:cs="Times New Roman"/>
              </w:rPr>
            </w:pPr>
            <w:r>
              <w:rPr>
                <w:rFonts w:hint="eastAsia" w:cs="Times New Roman"/>
              </w:rPr>
              <w:t>电池热失控</w:t>
            </w:r>
          </w:p>
        </w:tc>
        <w:tc>
          <w:tcPr>
            <w:tcW w:w="556"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4E7EE37">
            <w:pPr>
              <w:pStyle w:val="44"/>
              <w:spacing w:before="156" w:after="156"/>
              <w:ind w:firstLine="0" w:firstLineChars="0"/>
              <w:jc w:val="center"/>
              <w:rPr>
                <w:rFonts w:cs="Times New Roman"/>
              </w:rPr>
            </w:pPr>
            <w:r>
              <w:rPr>
                <w:rFonts w:hint="eastAsia" w:cs="Times New Roman"/>
              </w:rPr>
              <w:t>起火爆炸</w:t>
            </w:r>
          </w:p>
        </w:tc>
        <w:tc>
          <w:tcPr>
            <w:tcW w:w="546"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0B55A1D">
            <w:pPr>
              <w:pStyle w:val="44"/>
              <w:spacing w:before="156" w:after="156"/>
              <w:ind w:firstLine="0" w:firstLineChars="0"/>
              <w:jc w:val="center"/>
              <w:rPr>
                <w:rFonts w:cs="Times New Roman"/>
              </w:rPr>
            </w:pPr>
            <w:r>
              <w:rPr>
                <w:rFonts w:hint="eastAsia" w:cs="Times New Roman"/>
              </w:rPr>
              <w:t>较严重</w:t>
            </w:r>
          </w:p>
        </w:tc>
        <w:tc>
          <w:tcPr>
            <w:tcW w:w="5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AC34853">
            <w:pPr>
              <w:pStyle w:val="44"/>
              <w:spacing w:before="156" w:after="156"/>
              <w:ind w:firstLine="0" w:firstLineChars="0"/>
              <w:jc w:val="center"/>
              <w:rPr>
                <w:rFonts w:cs="Times New Roman"/>
              </w:rPr>
            </w:pPr>
            <w:r>
              <w:rPr>
                <w:rFonts w:hint="eastAsia" w:cs="Times New Roman"/>
              </w:rPr>
              <w:t>电池绝缘失效</w:t>
            </w: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21D9500">
            <w:pPr>
              <w:pStyle w:val="44"/>
              <w:spacing w:before="156" w:after="156"/>
              <w:ind w:firstLine="0" w:firstLineChars="0"/>
              <w:jc w:val="center"/>
              <w:rPr>
                <w:rFonts w:cs="Times New Roman"/>
              </w:rPr>
            </w:pPr>
            <w:r>
              <w:rPr>
                <w:rFonts w:hint="eastAsia" w:cs="Times New Roman"/>
              </w:rPr>
              <w:t>极低</w:t>
            </w:r>
          </w:p>
        </w:tc>
        <w:tc>
          <w:tcPr>
            <w:tcW w:w="59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89149AF">
            <w:pPr>
              <w:pStyle w:val="44"/>
              <w:spacing w:before="156" w:after="156"/>
              <w:ind w:firstLine="0" w:firstLineChars="0"/>
              <w:jc w:val="center"/>
              <w:rPr>
                <w:rFonts w:cs="Times New Roman"/>
              </w:rPr>
            </w:pPr>
            <w:r>
              <w:rPr>
                <w:rFonts w:hint="eastAsia" w:cs="Times New Roman"/>
              </w:rPr>
              <w:t>切断电路</w:t>
            </w:r>
          </w:p>
        </w:tc>
        <w:tc>
          <w:tcPr>
            <w:tcW w:w="57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1D95A65">
            <w:pPr>
              <w:pStyle w:val="44"/>
              <w:spacing w:before="156" w:after="156"/>
              <w:ind w:firstLine="0" w:firstLineChars="0"/>
              <w:jc w:val="center"/>
              <w:rPr>
                <w:rFonts w:cs="Times New Roman"/>
              </w:rPr>
            </w:pPr>
            <w:r>
              <w:rPr>
                <w:rFonts w:hint="eastAsia" w:cs="Times New Roman"/>
              </w:rPr>
              <w:t>可侦测</w:t>
            </w:r>
          </w:p>
        </w:tc>
        <w:tc>
          <w:tcPr>
            <w:tcW w:w="71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66D2774">
            <w:pPr>
              <w:pStyle w:val="44"/>
              <w:spacing w:before="156" w:after="156"/>
              <w:ind w:firstLine="0" w:firstLineChars="0"/>
              <w:jc w:val="center"/>
              <w:rPr>
                <w:rFonts w:cs="Times New Roman"/>
              </w:rPr>
            </w:pPr>
            <w:r>
              <w:rPr>
                <w:rFonts w:hint="eastAsia" w:cs="Times New Roman"/>
              </w:rPr>
              <w:t>6</w:t>
            </w:r>
            <w:r>
              <w:rPr>
                <w:rFonts w:cs="Times New Roman"/>
              </w:rPr>
              <w:t>3</w:t>
            </w: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66D3141">
            <w:pPr>
              <w:pStyle w:val="44"/>
              <w:spacing w:before="156" w:after="156"/>
              <w:ind w:firstLine="0" w:firstLineChars="0"/>
              <w:jc w:val="center"/>
              <w:rPr>
                <w:rFonts w:cs="Times New Roman"/>
              </w:rPr>
            </w:pPr>
            <w:r>
              <w:rPr>
                <w:rFonts w:hint="eastAsia" w:cs="Times New Roman"/>
              </w:rPr>
              <w:t>切断电路</w:t>
            </w: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77013C9">
            <w:pPr>
              <w:pStyle w:val="44"/>
              <w:spacing w:before="156" w:after="156"/>
              <w:ind w:firstLine="0" w:firstLineChars="0"/>
              <w:jc w:val="center"/>
              <w:rPr>
                <w:rFonts w:cs="Times New Roman"/>
              </w:rPr>
            </w:pPr>
            <w:r>
              <w:rPr>
                <w:rFonts w:hint="eastAsia" w:cs="Times New Roman"/>
              </w:rPr>
              <w:t>切断电路</w:t>
            </w:r>
          </w:p>
        </w:tc>
        <w:tc>
          <w:tcPr>
            <w:tcW w:w="473"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8EA54BE">
            <w:pPr>
              <w:pStyle w:val="44"/>
              <w:spacing w:before="156" w:after="156"/>
              <w:ind w:firstLine="0" w:firstLineChars="0"/>
              <w:jc w:val="center"/>
              <w:rPr>
                <w:rFonts w:cs="Times New Roman"/>
              </w:rPr>
            </w:pPr>
            <w:r>
              <w:rPr>
                <w:rFonts w:hint="eastAsia" w:cs="Times New Roman"/>
              </w:rPr>
              <w:t>7</w:t>
            </w: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A8A28C6">
            <w:pPr>
              <w:pStyle w:val="44"/>
              <w:spacing w:before="156" w:after="156"/>
              <w:ind w:firstLine="0" w:firstLineChars="0"/>
              <w:jc w:val="center"/>
              <w:rPr>
                <w:rFonts w:cs="Times New Roman"/>
              </w:rPr>
            </w:pPr>
            <w:r>
              <w:rPr>
                <w:rFonts w:hint="eastAsia" w:cs="Times New Roman"/>
              </w:rPr>
              <w:t>3</w:t>
            </w: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5F46AD1">
            <w:pPr>
              <w:pStyle w:val="44"/>
              <w:spacing w:before="156" w:after="156"/>
              <w:ind w:firstLine="0" w:firstLineChars="0"/>
              <w:jc w:val="center"/>
              <w:rPr>
                <w:rFonts w:cs="Times New Roman"/>
              </w:rPr>
            </w:pPr>
            <w:r>
              <w:rPr>
                <w:rFonts w:hint="eastAsia" w:cs="Times New Roman"/>
              </w:rPr>
              <w:t>3</w:t>
            </w:r>
          </w:p>
        </w:tc>
        <w:tc>
          <w:tcPr>
            <w:tcW w:w="71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E6AA3C8">
            <w:pPr>
              <w:pStyle w:val="44"/>
              <w:spacing w:before="156" w:after="156"/>
              <w:ind w:firstLine="0" w:firstLineChars="0"/>
              <w:jc w:val="center"/>
              <w:rPr>
                <w:rFonts w:cs="Times New Roman"/>
              </w:rPr>
            </w:pPr>
            <w:r>
              <w:rPr>
                <w:rFonts w:hint="eastAsia" w:cs="Times New Roman"/>
              </w:rPr>
              <w:t>6</w:t>
            </w:r>
            <w:r>
              <w:rPr>
                <w:rFonts w:cs="Times New Roman"/>
              </w:rPr>
              <w:t>3</w:t>
            </w:r>
          </w:p>
        </w:tc>
      </w:tr>
      <w:tr w14:paraId="4E75DBB3">
        <w:tblPrEx>
          <w:tblCellMar>
            <w:top w:w="0" w:type="dxa"/>
            <w:left w:w="0" w:type="dxa"/>
            <w:bottom w:w="0" w:type="dxa"/>
            <w:right w:w="0" w:type="dxa"/>
          </w:tblCellMar>
        </w:tblPrEx>
        <w:trPr>
          <w:trHeight w:val="397" w:hRule="atLeast"/>
          <w:jc w:val="center"/>
        </w:trPr>
        <w:tc>
          <w:tcPr>
            <w:tcW w:w="568"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ECC4A7C">
            <w:pPr>
              <w:pStyle w:val="44"/>
              <w:spacing w:before="156" w:after="156"/>
              <w:ind w:firstLine="0" w:firstLineChars="0"/>
              <w:jc w:val="center"/>
              <w:rPr>
                <w:rFonts w:cs="Times New Roman"/>
              </w:rPr>
            </w:pPr>
          </w:p>
        </w:tc>
        <w:tc>
          <w:tcPr>
            <w:tcW w:w="83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3C22ABE">
            <w:pPr>
              <w:pStyle w:val="44"/>
              <w:spacing w:before="156" w:after="156"/>
              <w:ind w:firstLine="0" w:firstLineChars="0"/>
              <w:jc w:val="center"/>
              <w:rPr>
                <w:rFonts w:cs="Times New Roman"/>
              </w:rPr>
            </w:pPr>
          </w:p>
        </w:tc>
        <w:tc>
          <w:tcPr>
            <w:tcW w:w="556"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D56678B">
            <w:pPr>
              <w:pStyle w:val="44"/>
              <w:spacing w:before="156" w:after="156"/>
              <w:ind w:firstLine="0" w:firstLineChars="0"/>
              <w:jc w:val="center"/>
              <w:rPr>
                <w:rFonts w:cs="Times New Roman"/>
              </w:rPr>
            </w:pPr>
          </w:p>
        </w:tc>
        <w:tc>
          <w:tcPr>
            <w:tcW w:w="546"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2AE1F34">
            <w:pPr>
              <w:pStyle w:val="44"/>
              <w:spacing w:before="156" w:after="156"/>
              <w:ind w:firstLine="0" w:firstLineChars="0"/>
              <w:jc w:val="center"/>
              <w:rPr>
                <w:rFonts w:cs="Times New Roman"/>
              </w:rPr>
            </w:pPr>
          </w:p>
        </w:tc>
        <w:tc>
          <w:tcPr>
            <w:tcW w:w="557"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E9939E1">
            <w:pPr>
              <w:pStyle w:val="44"/>
              <w:spacing w:before="156" w:after="156"/>
              <w:ind w:firstLine="0" w:firstLineChars="0"/>
              <w:jc w:val="center"/>
              <w:rPr>
                <w:rFonts w:cs="Times New Roman"/>
              </w:rPr>
            </w:pP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7F30D7A">
            <w:pPr>
              <w:pStyle w:val="44"/>
              <w:spacing w:before="156" w:after="156"/>
              <w:ind w:firstLine="0" w:firstLineChars="0"/>
              <w:jc w:val="center"/>
              <w:rPr>
                <w:rFonts w:cs="Times New Roman"/>
              </w:rPr>
            </w:pPr>
          </w:p>
        </w:tc>
        <w:tc>
          <w:tcPr>
            <w:tcW w:w="59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3F69542">
            <w:pPr>
              <w:pStyle w:val="44"/>
              <w:spacing w:before="156" w:after="156"/>
              <w:ind w:firstLine="0" w:firstLineChars="0"/>
              <w:jc w:val="center"/>
              <w:rPr>
                <w:rFonts w:cs="Times New Roman"/>
              </w:rPr>
            </w:pPr>
          </w:p>
        </w:tc>
        <w:tc>
          <w:tcPr>
            <w:tcW w:w="574"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3810C2C7">
            <w:pPr>
              <w:pStyle w:val="44"/>
              <w:spacing w:before="156" w:after="156"/>
              <w:ind w:firstLine="0" w:firstLineChars="0"/>
              <w:jc w:val="center"/>
              <w:rPr>
                <w:rFonts w:cs="Times New Roman"/>
              </w:rPr>
            </w:pPr>
          </w:p>
        </w:tc>
        <w:tc>
          <w:tcPr>
            <w:tcW w:w="71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BE81111">
            <w:pPr>
              <w:pStyle w:val="44"/>
              <w:spacing w:before="156" w:after="156"/>
              <w:ind w:firstLine="0" w:firstLineChars="0"/>
              <w:jc w:val="center"/>
              <w:rPr>
                <w:rFonts w:cs="Times New Roman"/>
              </w:rPr>
            </w:pP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452B3EB">
            <w:pPr>
              <w:pStyle w:val="44"/>
              <w:spacing w:before="156" w:after="156"/>
              <w:ind w:firstLine="0" w:firstLineChars="0"/>
              <w:jc w:val="center"/>
              <w:rPr>
                <w:rFonts w:cs="Times New Roman"/>
              </w:rPr>
            </w:pPr>
          </w:p>
        </w:tc>
        <w:tc>
          <w:tcPr>
            <w:tcW w:w="55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DBBE169">
            <w:pPr>
              <w:pStyle w:val="44"/>
              <w:spacing w:before="156" w:after="156"/>
              <w:ind w:firstLine="0" w:firstLineChars="0"/>
              <w:jc w:val="center"/>
              <w:rPr>
                <w:rFonts w:cs="Times New Roman"/>
              </w:rPr>
            </w:pPr>
          </w:p>
        </w:tc>
        <w:tc>
          <w:tcPr>
            <w:tcW w:w="473"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EBEB2D3">
            <w:pPr>
              <w:pStyle w:val="44"/>
              <w:spacing w:before="156" w:after="156"/>
              <w:ind w:firstLine="0" w:firstLineChars="0"/>
              <w:jc w:val="center"/>
              <w:rPr>
                <w:rFonts w:cs="Times New Roman"/>
              </w:rPr>
            </w:pP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4443D71">
            <w:pPr>
              <w:pStyle w:val="44"/>
              <w:spacing w:before="156" w:after="156"/>
              <w:ind w:firstLine="0" w:firstLineChars="0"/>
              <w:jc w:val="center"/>
              <w:rPr>
                <w:rFonts w:cs="Times New Roman"/>
              </w:rPr>
            </w:pPr>
          </w:p>
        </w:tc>
        <w:tc>
          <w:tcPr>
            <w:tcW w:w="502"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0D2380DF">
            <w:pPr>
              <w:pStyle w:val="44"/>
              <w:spacing w:before="156" w:after="156"/>
              <w:ind w:firstLine="0" w:firstLineChars="0"/>
              <w:jc w:val="center"/>
              <w:rPr>
                <w:rFonts w:cs="Times New Roman"/>
              </w:rPr>
            </w:pPr>
          </w:p>
        </w:tc>
        <w:tc>
          <w:tcPr>
            <w:tcW w:w="715"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0120208">
            <w:pPr>
              <w:pStyle w:val="44"/>
              <w:spacing w:before="156" w:after="156"/>
              <w:ind w:firstLine="0" w:firstLineChars="0"/>
              <w:jc w:val="center"/>
              <w:rPr>
                <w:rFonts w:cs="Times New Roman"/>
              </w:rPr>
            </w:pPr>
          </w:p>
        </w:tc>
      </w:tr>
      <w:tr w14:paraId="7CA74134">
        <w:tblPrEx>
          <w:tblCellMar>
            <w:top w:w="0" w:type="dxa"/>
            <w:left w:w="0" w:type="dxa"/>
            <w:bottom w:w="0" w:type="dxa"/>
            <w:right w:w="0" w:type="dxa"/>
          </w:tblCellMar>
        </w:tblPrEx>
        <w:trPr>
          <w:trHeight w:val="397" w:hRule="atLeast"/>
          <w:jc w:val="center"/>
        </w:trPr>
        <w:tc>
          <w:tcPr>
            <w:tcW w:w="8787" w:type="dxa"/>
            <w:gridSpan w:val="15"/>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E2230DC">
            <w:pPr>
              <w:pStyle w:val="44"/>
              <w:spacing w:before="156" w:after="156"/>
              <w:ind w:firstLine="0" w:firstLineChars="0"/>
              <w:jc w:val="center"/>
              <w:rPr>
                <w:rFonts w:cs="Times New Roman"/>
              </w:rPr>
            </w:pPr>
            <w:r>
              <w:rPr>
                <w:rFonts w:cs="Times New Roman"/>
              </w:rPr>
              <w:t>备注：S代表严重度，O代表发生概率，D代表可侦测性，RPN代表风险评分</w:t>
            </w:r>
          </w:p>
        </w:tc>
      </w:tr>
    </w:tbl>
    <w:p w14:paraId="6EF27ADB">
      <w:pPr>
        <w:pStyle w:val="44"/>
        <w:spacing w:before="156" w:after="156"/>
        <w:ind w:firstLine="420"/>
        <w:rPr>
          <w:rFonts w:cs="Times New Roman"/>
        </w:rPr>
      </w:pPr>
    </w:p>
    <w:p w14:paraId="3BDA8459">
      <w:pPr>
        <w:pStyle w:val="107"/>
        <w:spacing w:before="156" w:after="156"/>
        <w:rPr>
          <w:rFonts w:cs="Times New Roman"/>
        </w:rPr>
      </w:pPr>
      <w:bookmarkStart w:id="64" w:name="_Toc130762942"/>
      <w:bookmarkStart w:id="65" w:name="_Toc10139"/>
      <w:r>
        <w:rPr>
          <w:rFonts w:hint="eastAsia" w:cs="Times New Roman"/>
        </w:rPr>
        <w:t>表</w:t>
      </w:r>
      <w:r>
        <w:rPr>
          <w:rFonts w:cs="Times New Roman"/>
        </w:rPr>
        <w:t xml:space="preserve">E.2 </w:t>
      </w:r>
      <w:r>
        <w:rPr>
          <w:rFonts w:hint="eastAsia" w:cs="Times New Roman"/>
        </w:rPr>
        <w:t>风险评分影响表</w:t>
      </w:r>
      <w:bookmarkEnd w:id="64"/>
      <w:bookmarkEnd w:id="65"/>
    </w:p>
    <w:tbl>
      <w:tblPr>
        <w:tblStyle w:val="22"/>
        <w:tblW w:w="8505" w:type="dxa"/>
        <w:jc w:val="center"/>
        <w:tblLayout w:type="autofit"/>
        <w:tblCellMar>
          <w:top w:w="0" w:type="dxa"/>
          <w:left w:w="0" w:type="dxa"/>
          <w:bottom w:w="0" w:type="dxa"/>
          <w:right w:w="0" w:type="dxa"/>
        </w:tblCellMar>
      </w:tblPr>
      <w:tblGrid>
        <w:gridCol w:w="4219"/>
        <w:gridCol w:w="4286"/>
      </w:tblGrid>
      <w:tr w14:paraId="0B263DC6">
        <w:tblPrEx>
          <w:tblCellMar>
            <w:top w:w="0" w:type="dxa"/>
            <w:left w:w="0" w:type="dxa"/>
            <w:bottom w:w="0" w:type="dxa"/>
            <w:right w:w="0" w:type="dxa"/>
          </w:tblCellMar>
        </w:tblPrEx>
        <w:trPr>
          <w:trHeight w:val="397" w:hRule="atLeast"/>
          <w:jc w:val="center"/>
        </w:trPr>
        <w:tc>
          <w:tcPr>
            <w:tcW w:w="254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69AA8EB">
            <w:pPr>
              <w:pStyle w:val="44"/>
              <w:spacing w:before="156" w:after="156"/>
              <w:ind w:firstLine="420"/>
              <w:rPr>
                <w:rFonts w:cs="Times New Roman"/>
              </w:rPr>
            </w:pPr>
            <w:r>
              <w:rPr>
                <w:rFonts w:cs="Times New Roman"/>
              </w:rPr>
              <w:t>RPN值</w:t>
            </w:r>
          </w:p>
        </w:tc>
        <w:tc>
          <w:tcPr>
            <w:tcW w:w="258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62A0B66C">
            <w:pPr>
              <w:pStyle w:val="44"/>
              <w:spacing w:before="156" w:after="156"/>
              <w:ind w:firstLine="420"/>
              <w:rPr>
                <w:rFonts w:cs="Times New Roman"/>
              </w:rPr>
            </w:pPr>
            <w:r>
              <w:rPr>
                <w:rFonts w:cs="Times New Roman"/>
              </w:rPr>
              <w:t>影响后果</w:t>
            </w:r>
          </w:p>
        </w:tc>
      </w:tr>
      <w:tr w14:paraId="35F6B008">
        <w:tblPrEx>
          <w:tblCellMar>
            <w:top w:w="0" w:type="dxa"/>
            <w:left w:w="0" w:type="dxa"/>
            <w:bottom w:w="0" w:type="dxa"/>
            <w:right w:w="0" w:type="dxa"/>
          </w:tblCellMar>
        </w:tblPrEx>
        <w:trPr>
          <w:trHeight w:val="397" w:hRule="atLeast"/>
          <w:jc w:val="center"/>
        </w:trPr>
        <w:tc>
          <w:tcPr>
            <w:tcW w:w="254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6CDCC5D">
            <w:pPr>
              <w:pStyle w:val="44"/>
              <w:spacing w:before="156" w:after="156"/>
              <w:ind w:firstLine="420"/>
              <w:rPr>
                <w:rFonts w:cs="Times New Roman"/>
              </w:rPr>
            </w:pPr>
            <w:r>
              <w:rPr>
                <w:rFonts w:cs="Times New Roman"/>
              </w:rPr>
              <w:t>1~50</w:t>
            </w:r>
          </w:p>
        </w:tc>
        <w:tc>
          <w:tcPr>
            <w:tcW w:w="258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3598EA0">
            <w:pPr>
              <w:pStyle w:val="44"/>
              <w:spacing w:before="156" w:after="156"/>
              <w:ind w:firstLine="420"/>
              <w:rPr>
                <w:rFonts w:cs="Times New Roman"/>
              </w:rPr>
            </w:pPr>
            <w:r>
              <w:rPr>
                <w:rFonts w:cs="Times New Roman"/>
              </w:rPr>
              <w:t>危害较小</w:t>
            </w:r>
          </w:p>
        </w:tc>
      </w:tr>
      <w:tr w14:paraId="091DA5DC">
        <w:tblPrEx>
          <w:tblCellMar>
            <w:top w:w="0" w:type="dxa"/>
            <w:left w:w="0" w:type="dxa"/>
            <w:bottom w:w="0" w:type="dxa"/>
            <w:right w:w="0" w:type="dxa"/>
          </w:tblCellMar>
        </w:tblPrEx>
        <w:trPr>
          <w:trHeight w:val="397" w:hRule="atLeast"/>
          <w:jc w:val="center"/>
        </w:trPr>
        <w:tc>
          <w:tcPr>
            <w:tcW w:w="254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8230322">
            <w:pPr>
              <w:pStyle w:val="44"/>
              <w:spacing w:before="156" w:after="156"/>
              <w:ind w:firstLine="420"/>
              <w:rPr>
                <w:rFonts w:cs="Times New Roman"/>
              </w:rPr>
            </w:pPr>
            <w:r>
              <w:rPr>
                <w:rFonts w:cs="Times New Roman"/>
              </w:rPr>
              <w:t>51~100</w:t>
            </w:r>
          </w:p>
        </w:tc>
        <w:tc>
          <w:tcPr>
            <w:tcW w:w="258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CE066F0">
            <w:pPr>
              <w:pStyle w:val="44"/>
              <w:spacing w:before="156" w:after="156"/>
              <w:ind w:firstLine="420"/>
              <w:rPr>
                <w:rFonts w:cs="Times New Roman"/>
              </w:rPr>
            </w:pPr>
            <w:r>
              <w:rPr>
                <w:rFonts w:cs="Times New Roman"/>
              </w:rPr>
              <w:t>中等危害，需要进行改进</w:t>
            </w:r>
          </w:p>
        </w:tc>
      </w:tr>
      <w:tr w14:paraId="4705504E">
        <w:tblPrEx>
          <w:tblCellMar>
            <w:top w:w="0" w:type="dxa"/>
            <w:left w:w="0" w:type="dxa"/>
            <w:bottom w:w="0" w:type="dxa"/>
            <w:right w:w="0" w:type="dxa"/>
          </w:tblCellMar>
        </w:tblPrEx>
        <w:trPr>
          <w:trHeight w:val="397" w:hRule="atLeast"/>
          <w:jc w:val="center"/>
        </w:trPr>
        <w:tc>
          <w:tcPr>
            <w:tcW w:w="254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6C25DFC">
            <w:pPr>
              <w:pStyle w:val="44"/>
              <w:spacing w:before="156" w:after="156"/>
              <w:ind w:firstLine="420"/>
              <w:rPr>
                <w:rFonts w:cs="Times New Roman"/>
              </w:rPr>
            </w:pPr>
            <w:r>
              <w:rPr>
                <w:rFonts w:cs="Times New Roman"/>
              </w:rPr>
              <w:t>100~1000</w:t>
            </w:r>
          </w:p>
        </w:tc>
        <w:tc>
          <w:tcPr>
            <w:tcW w:w="258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4DAC015F">
            <w:pPr>
              <w:pStyle w:val="44"/>
              <w:spacing w:before="156" w:after="156"/>
              <w:ind w:firstLine="420"/>
              <w:rPr>
                <w:rFonts w:cs="Times New Roman"/>
              </w:rPr>
            </w:pPr>
            <w:r>
              <w:rPr>
                <w:rFonts w:cs="Times New Roman"/>
              </w:rPr>
              <w:t>严重危害，需要深入调查整改</w:t>
            </w:r>
          </w:p>
        </w:tc>
      </w:tr>
    </w:tbl>
    <w:p w14:paraId="559BBE20">
      <w:pPr>
        <w:pStyle w:val="44"/>
        <w:spacing w:before="156" w:after="156"/>
        <w:ind w:firstLine="420"/>
        <w:rPr>
          <w:rFonts w:cs="Times New Roman"/>
        </w:rPr>
      </w:pPr>
    </w:p>
    <w:p w14:paraId="572AD6DA">
      <w:pPr>
        <w:pStyle w:val="44"/>
        <w:spacing w:before="156" w:after="156"/>
        <w:ind w:firstLine="0" w:firstLineChars="0"/>
        <w:rPr>
          <w:rFonts w:cs="Times New Roman"/>
        </w:rPr>
      </w:pPr>
    </w:p>
    <w:sectPr>
      <w:headerReference r:id="rId17" w:type="first"/>
      <w:footerReference r:id="rId18" w:type="first"/>
      <w:pgSz w:w="11906" w:h="16838"/>
      <w:pgMar w:top="1418" w:right="1418" w:bottom="1134" w:left="1418" w:header="1417" w:footer="113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577C3">
    <w:pPr>
      <w:pStyle w:val="14"/>
      <w:spacing w:line="240" w:lineRule="auto"/>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III</w:t>
    </w:r>
    <w:r>
      <w:rPr>
        <w:rFonts w:ascii="Times New Roman" w:hAnsi="Times New Roman"/>
        <w:caps/>
        <w:color w:val="000000" w:themeColor="text1"/>
        <w14:textFill>
          <w14:solidFill>
            <w14:schemeClr w14:val="tx1"/>
          </w14:solidFill>
        </w14:textFil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AA19">
    <w:pPr>
      <w:pStyle w:val="14"/>
      <w:spacing w:line="240" w:lineRule="auto"/>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6</w:t>
    </w:r>
    <w:r>
      <w:rPr>
        <w:rFonts w:ascii="Times New Roman" w:hAnsi="Times New Roman"/>
        <w:cap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43C92">
    <w:pPr>
      <w:pStyle w:val="14"/>
      <w:spacing w:line="240" w:lineRule="auto"/>
      <w:jc w:val="right"/>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6</w:t>
    </w:r>
    <w:r>
      <w:rPr>
        <w:rFonts w:ascii="Times New Roman" w:hAnsi="Times New Roman"/>
        <w:caps/>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365D4">
    <w:pPr>
      <w:pStyle w:val="14"/>
      <w:spacing w:line="240" w:lineRule="auto"/>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5</w:t>
    </w:r>
    <w:r>
      <w:rPr>
        <w:rFonts w:ascii="Times New Roman" w:hAnsi="Times New Roman"/>
        <w:caps/>
        <w:color w:val="000000" w:themeColor="text1"/>
        <w14:textFill>
          <w14:solidFill>
            <w14:schemeClr w14:val="tx1"/>
          </w14:solidFill>
        </w14:textFill>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183F7">
    <w:pPr>
      <w:pStyle w:val="14"/>
      <w:spacing w:line="240" w:lineRule="auto"/>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6</w:t>
    </w:r>
    <w:r>
      <w:rPr>
        <w:rFonts w:ascii="Times New Roman" w:hAnsi="Times New Roman"/>
        <w:caps/>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61A56">
    <w:pPr>
      <w:pStyle w:val="14"/>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1</w:t>
    </w:r>
    <w:r>
      <w:rPr>
        <w:rFonts w:ascii="Times New Roman" w:hAnsi="Times New Roman"/>
        <w:caps/>
        <w:color w:val="000000" w:themeColor="text1"/>
        <w14:textFill>
          <w14:solidFill>
            <w14:schemeClr w14:val="tx1"/>
          </w14:solidFill>
        </w14:textFill>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A162">
    <w:pPr>
      <w:pStyle w:val="14"/>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13</w:t>
    </w:r>
    <w:r>
      <w:rPr>
        <w:rFonts w:ascii="Times New Roman" w:hAnsi="Times New Roman"/>
        <w:caps/>
        <w:color w:val="000000" w:themeColor="text1"/>
        <w14:textFill>
          <w14:solidFill>
            <w14:schemeClr w14:val="tx1"/>
          </w14:solidFill>
        </w14:textFil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99836">
    <w:pPr>
      <w:spacing w:after="284" w:line="240" w:lineRule="auto"/>
      <w:jc w:val="left"/>
      <w:rPr>
        <w:rFonts w:ascii="Times New Roman" w:hAnsi="Times New Roman" w:eastAsia="黑体"/>
        <w:b/>
      </w:rPr>
    </w:pPr>
    <w:r>
      <w:rPr>
        <w:rFonts w:ascii="Times New Roman" w:hAnsi="Times New Roman" w:eastAsia="黑体"/>
        <w:b/>
      </w:rPr>
      <w:t>T/CECC 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454D">
    <w:pPr>
      <w:spacing w:line="240" w:lineRule="auto"/>
      <w:rPr>
        <w:rFonts w:ascii="Times New Roman" w:hAnsi="Times New Roman" w:eastAsia="黑体"/>
        <w:b/>
      </w:rPr>
    </w:pPr>
    <w:r>
      <w:rPr>
        <w:rFonts w:ascii="Times New Roman" w:hAnsi="Times New Roman" w:eastAsia="黑体"/>
        <w:b/>
      </w:rPr>
      <w:t>T/CMES 1.1</w:t>
    </w:r>
    <w:r>
      <w:rPr>
        <w:rFonts w:hint="eastAsia" w:ascii="Times New Roman" w:hAnsi="Times New Roman" w:eastAsia="黑体"/>
        <w:b/>
      </w:rPr>
      <w:t>—2</w:t>
    </w:r>
    <w:r>
      <w:rPr>
        <w:rFonts w:ascii="Times New Roman" w:hAnsi="Times New Roman" w:eastAsia="黑体"/>
        <w:b/>
      </w:rPr>
      <w:t>01X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CEFB3">
    <w:pPr>
      <w:spacing w:after="284" w:line="240" w:lineRule="auto"/>
      <w:jc w:val="right"/>
      <w:rPr>
        <w:rFonts w:ascii="Times New Roman" w:hAnsi="Times New Roman" w:eastAsia="黑体"/>
        <w:b/>
      </w:rPr>
    </w:pPr>
    <w:r>
      <w:rPr>
        <w:rFonts w:ascii="Times New Roman" w:hAnsi="Times New Roman" w:eastAsia="黑体"/>
        <w:b/>
      </w:rPr>
      <w:t>T/CMES 1.1</w:t>
    </w:r>
    <w:r>
      <w:rPr>
        <w:rFonts w:hint="eastAsia" w:ascii="Times New Roman" w:hAnsi="Times New Roman" w:eastAsia="黑体"/>
        <w:b/>
      </w:rPr>
      <w:t>—2</w:t>
    </w:r>
    <w:r>
      <w:rPr>
        <w:rFonts w:ascii="Times New Roman" w:hAnsi="Times New Roman" w:eastAsia="黑体"/>
        <w:b/>
      </w:rPr>
      <w:t>01X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BD4F">
    <w:pPr>
      <w:spacing w:after="284" w:line="240" w:lineRule="auto"/>
      <w:jc w:val="right"/>
      <w:rPr>
        <w:rFonts w:hint="eastAsia" w:ascii="黑体" w:hAnsi="黑体" w:eastAsia="黑体" w:cs="黑体"/>
        <w:b/>
      </w:rPr>
    </w:pPr>
    <w:r>
      <w:rPr>
        <w:rFonts w:hint="eastAsia" w:ascii="黑体" w:hAnsi="黑体" w:eastAsia="黑体" w:cs="黑体"/>
        <w:b/>
      </w:rPr>
      <w:t>T/CECC 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6A5D">
    <w:pPr>
      <w:spacing w:after="284" w:line="240" w:lineRule="auto"/>
      <w:jc w:val="right"/>
      <w:rPr>
        <w:rFonts w:ascii="Times New Roman" w:hAnsi="Times New Roman" w:eastAsia="黑体"/>
        <w:b/>
      </w:rPr>
    </w:pPr>
    <w:r>
      <w:rPr>
        <w:rFonts w:ascii="Times New Roman" w:hAnsi="Times New Roman" w:eastAsia="黑体"/>
        <w:b/>
      </w:rPr>
      <w:t>T/CECC XXX—XXXX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BB0EB">
    <w:pPr>
      <w:spacing w:after="284" w:line="240" w:lineRule="auto"/>
      <w:jc w:val="left"/>
      <w:rPr>
        <w:rFonts w:ascii="Times New Roman" w:hAnsi="Times New Roman" w:eastAsia="黑体"/>
        <w:b/>
      </w:rPr>
    </w:pPr>
    <w:r>
      <w:rPr>
        <w:rFonts w:ascii="Times New Roman" w:hAnsi="Times New Roman" w:eastAsia="黑体"/>
        <w:b/>
      </w:rPr>
      <w:t>T/CECC XXX—XXXX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97E0">
    <w:pPr>
      <w:spacing w:after="284" w:line="240" w:lineRule="auto"/>
      <w:jc w:val="left"/>
      <w:rPr>
        <w:rFonts w:ascii="Times New Roman" w:hAnsi="Times New Roman" w:eastAsia="黑体"/>
        <w:b/>
      </w:rPr>
    </w:pPr>
    <w:r>
      <w:rPr>
        <w:rFonts w:hint="eastAsia" w:ascii="Times New Roman" w:hAnsi="Times New Roman" w:eastAsia="黑体"/>
        <w:b/>
      </w:rPr>
      <w:t>T/</w:t>
    </w:r>
    <w:r>
      <w:rPr>
        <w:rFonts w:ascii="Times New Roman" w:hAnsi="Times New Roman" w:eastAsia="黑体"/>
        <w:b/>
      </w:rPr>
      <w:t>CMES XXX</w:t>
    </w:r>
    <w:r>
      <w:rPr>
        <w:rFonts w:hint="eastAsia" w:ascii="Times New Roman" w:hAnsi="Times New Roman" w:eastAsia="黑体"/>
        <w:b/>
      </w:rPr>
      <w:t>—2</w:t>
    </w:r>
    <w:r>
      <w:rPr>
        <w:rFonts w:ascii="Times New Roman" w:hAnsi="Times New Roman" w:eastAsia="黑体"/>
        <w:b/>
      </w:rPr>
      <w:t>01X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3C2409"/>
    <w:multiLevelType w:val="multilevel"/>
    <w:tmpl w:val="1E3C2409"/>
    <w:lvl w:ilvl="0" w:tentative="0">
      <w:start w:val="1"/>
      <w:numFmt w:val="lowerLetter"/>
      <w:pStyle w:val="71"/>
      <w:lvlText w:val="%1)"/>
      <w:lvlJc w:val="left"/>
      <w:pPr>
        <w:ind w:left="780" w:hanging="360"/>
      </w:pPr>
      <w:rPr>
        <w:rFonts w:hint="default" w:cs="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E32610F"/>
    <w:multiLevelType w:val="multilevel"/>
    <w:tmpl w:val="2E32610F"/>
    <w:lvl w:ilvl="0" w:tentative="0">
      <w:start w:val="1"/>
      <w:numFmt w:val="decimal"/>
      <w:pStyle w:val="70"/>
      <w:lvlText w:val="图%1 "/>
      <w:lvlJc w:val="left"/>
      <w:pPr>
        <w:ind w:left="220" w:hanging="420"/>
      </w:pPr>
      <w:rPr>
        <w:rFonts w:hint="default" w:ascii="Times New Roman" w:hAnsi="Times New Roman" w:eastAsia="黑体"/>
        <w:sz w:val="21"/>
      </w:rPr>
    </w:lvl>
    <w:lvl w:ilvl="1" w:tentative="0">
      <w:start w:val="1"/>
      <w:numFmt w:val="lowerLetter"/>
      <w:lvlText w:val="%2)"/>
      <w:lvlJc w:val="left"/>
      <w:pPr>
        <w:ind w:left="640" w:hanging="420"/>
      </w:pPr>
    </w:lvl>
    <w:lvl w:ilvl="2" w:tentative="0">
      <w:start w:val="1"/>
      <w:numFmt w:val="lowerRoman"/>
      <w:lvlText w:val="%3."/>
      <w:lvlJc w:val="right"/>
      <w:pPr>
        <w:ind w:left="1060" w:hanging="420"/>
      </w:pPr>
    </w:lvl>
    <w:lvl w:ilvl="3" w:tentative="0">
      <w:start w:val="1"/>
      <w:numFmt w:val="decimal"/>
      <w:lvlText w:val="%4."/>
      <w:lvlJc w:val="left"/>
      <w:pPr>
        <w:ind w:left="1480" w:hanging="420"/>
      </w:pPr>
    </w:lvl>
    <w:lvl w:ilvl="4" w:tentative="0">
      <w:start w:val="1"/>
      <w:numFmt w:val="lowerLetter"/>
      <w:lvlText w:val="%5)"/>
      <w:lvlJc w:val="left"/>
      <w:pPr>
        <w:ind w:left="1900" w:hanging="420"/>
      </w:pPr>
    </w:lvl>
    <w:lvl w:ilvl="5" w:tentative="0">
      <w:start w:val="1"/>
      <w:numFmt w:val="lowerRoman"/>
      <w:lvlText w:val="%6."/>
      <w:lvlJc w:val="right"/>
      <w:pPr>
        <w:ind w:left="2320" w:hanging="420"/>
      </w:pPr>
    </w:lvl>
    <w:lvl w:ilvl="6" w:tentative="0">
      <w:start w:val="1"/>
      <w:numFmt w:val="decimal"/>
      <w:lvlText w:val="%7."/>
      <w:lvlJc w:val="left"/>
      <w:pPr>
        <w:ind w:left="2740" w:hanging="420"/>
      </w:pPr>
    </w:lvl>
    <w:lvl w:ilvl="7" w:tentative="0">
      <w:start w:val="1"/>
      <w:numFmt w:val="lowerLetter"/>
      <w:lvlText w:val="%8)"/>
      <w:lvlJc w:val="left"/>
      <w:pPr>
        <w:ind w:left="3160" w:hanging="420"/>
      </w:pPr>
    </w:lvl>
    <w:lvl w:ilvl="8" w:tentative="0">
      <w:start w:val="1"/>
      <w:numFmt w:val="lowerRoman"/>
      <w:lvlText w:val="%9."/>
      <w:lvlJc w:val="right"/>
      <w:pPr>
        <w:ind w:left="3580" w:hanging="420"/>
      </w:pPr>
    </w:lvl>
  </w:abstractNum>
  <w:abstractNum w:abstractNumId="2">
    <w:nsid w:val="3D1C17D8"/>
    <w:multiLevelType w:val="multilevel"/>
    <w:tmpl w:val="3D1C17D8"/>
    <w:lvl w:ilvl="0" w:tentative="0">
      <w:start w:val="1"/>
      <w:numFmt w:val="decimal"/>
      <w:pStyle w:val="76"/>
      <w:lvlText w:val="表%1 "/>
      <w:lvlJc w:val="left"/>
      <w:pPr>
        <w:ind w:left="420" w:hanging="420"/>
      </w:pPr>
      <w:rPr>
        <w:rFonts w:hint="default" w:ascii="Times New Roman" w:hAnsi="Times New Roman" w:eastAsia="黑体"/>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7C2AF5"/>
    <w:multiLevelType w:val="multilevel"/>
    <w:tmpl w:val="557C2AF5"/>
    <w:lvl w:ilvl="0" w:tentative="0">
      <w:start w:val="1"/>
      <w:numFmt w:val="decimal"/>
      <w:pStyle w:val="94"/>
      <w:suff w:val="nothing"/>
      <w:lvlText w:val="图%1　"/>
      <w:lvlJc w:val="left"/>
      <w:rPr>
        <w:rFonts w:hint="eastAsia" w:ascii="黑体" w:hAnsi="Times New Roman" w:eastAsia="黑体"/>
        <w:b w:val="0"/>
        <w:bCs w:val="0"/>
        <w:i w:val="0"/>
        <w:iCs w:val="0"/>
        <w:sz w:val="21"/>
        <w:szCs w:val="21"/>
      </w:rPr>
    </w:lvl>
    <w:lvl w:ilvl="1" w:tentative="0">
      <w:start w:val="1"/>
      <w:numFmt w:val="decimal"/>
      <w:suff w:val="nothing"/>
      <w:lvlText w:val="%1%2　"/>
      <w:lvlJc w:val="left"/>
      <w:rPr>
        <w:rFonts w:hint="eastAsia" w:ascii="黑体" w:hAnsi="Times New Roman" w:eastAsia="黑体"/>
        <w:b w:val="0"/>
        <w:bCs w:val="0"/>
        <w:i w:val="0"/>
        <w:iCs w:val="0"/>
        <w:sz w:val="21"/>
        <w:szCs w:val="21"/>
      </w:rPr>
    </w:lvl>
    <w:lvl w:ilvl="2" w:tentative="0">
      <w:start w:val="1"/>
      <w:numFmt w:val="decimal"/>
      <w:suff w:val="nothing"/>
      <w:lvlText w:val="%1%2.%3　"/>
      <w:lvlJc w:val="left"/>
      <w:rPr>
        <w:rFonts w:hint="eastAsia" w:ascii="黑体" w:hAnsi="Times New Roman" w:eastAsia="黑体"/>
        <w:b w:val="0"/>
        <w:bCs w:val="0"/>
        <w:i w:val="0"/>
        <w:iCs w:val="0"/>
        <w:sz w:val="21"/>
        <w:szCs w:val="21"/>
      </w:rPr>
    </w:lvl>
    <w:lvl w:ilvl="3" w:tentative="0">
      <w:start w:val="1"/>
      <w:numFmt w:val="decimal"/>
      <w:suff w:val="nothing"/>
      <w:lvlText w:val="%1%2.%3.%4　"/>
      <w:lvlJc w:val="left"/>
      <w:rPr>
        <w:rFonts w:hint="eastAsia" w:ascii="黑体" w:hAnsi="Times New Roman" w:eastAsia="黑体"/>
        <w:b w:val="0"/>
        <w:bCs w:val="0"/>
        <w:i w:val="0"/>
        <w:iCs w:val="0"/>
        <w:sz w:val="21"/>
        <w:szCs w:val="21"/>
      </w:rPr>
    </w:lvl>
    <w:lvl w:ilvl="4" w:tentative="0">
      <w:start w:val="1"/>
      <w:numFmt w:val="decimal"/>
      <w:suff w:val="nothing"/>
      <w:lvlText w:val="%1%2.%3.%4.%5　"/>
      <w:lvlJc w:val="left"/>
      <w:rPr>
        <w:rFonts w:hint="eastAsia" w:ascii="黑体" w:hAnsi="Times New Roman" w:eastAsia="黑体"/>
        <w:b w:val="0"/>
        <w:bCs w:val="0"/>
        <w:i w:val="0"/>
        <w:iCs w:val="0"/>
        <w:sz w:val="21"/>
        <w:szCs w:val="21"/>
      </w:rPr>
    </w:lvl>
    <w:lvl w:ilvl="5" w:tentative="0">
      <w:start w:val="1"/>
      <w:numFmt w:val="decimal"/>
      <w:suff w:val="nothing"/>
      <w:lvlText w:val="%1%2.%3.%4.%5.%6　"/>
      <w:lvlJc w:val="left"/>
      <w:rPr>
        <w:rFonts w:hint="eastAsia" w:ascii="黑体" w:hAnsi="Times New Roman" w:eastAsia="黑体"/>
        <w:b w:val="0"/>
        <w:bCs w:val="0"/>
        <w:i w:val="0"/>
        <w:iCs w:val="0"/>
        <w:sz w:val="21"/>
        <w:szCs w:val="21"/>
      </w:rPr>
    </w:lvl>
    <w:lvl w:ilvl="6" w:tentative="0">
      <w:start w:val="1"/>
      <w:numFmt w:val="decimal"/>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48"/>
        </w:tabs>
        <w:ind w:left="3969" w:hanging="1418"/>
      </w:pPr>
      <w:rPr>
        <w:rFonts w:hint="eastAsia" w:ascii="宋体" w:hAnsi="宋体" w:eastAsia="宋体"/>
        <w:sz w:val="24"/>
        <w:szCs w:val="24"/>
      </w:rPr>
    </w:lvl>
    <w:lvl w:ilvl="8" w:tentative="0">
      <w:start w:val="1"/>
      <w:numFmt w:val="decimal"/>
      <w:lvlText w:val="%1.%2.%3.%4.%5.%6.%7.%8.%9"/>
      <w:lvlJc w:val="left"/>
      <w:pPr>
        <w:tabs>
          <w:tab w:val="left" w:pos="4774"/>
        </w:tabs>
        <w:ind w:left="4677" w:hanging="1701"/>
      </w:pPr>
      <w:rPr>
        <w:rFonts w:hint="eastAsia" w:ascii="Times New Roman" w:hAnsi="Times New Roman" w:cs="Times New Roman"/>
        <w:sz w:val="24"/>
        <w:szCs w:val="24"/>
      </w:rPr>
    </w:lvl>
  </w:abstractNum>
  <w:abstractNum w:abstractNumId="4">
    <w:nsid w:val="591079F2"/>
    <w:multiLevelType w:val="multilevel"/>
    <w:tmpl w:val="591079F2"/>
    <w:lvl w:ilvl="0" w:tentative="0">
      <w:start w:val="1"/>
      <w:numFmt w:val="decimal"/>
      <w:pStyle w:val="101"/>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57D3FBC"/>
    <w:multiLevelType w:val="multilevel"/>
    <w:tmpl w:val="657D3FBC"/>
    <w:lvl w:ilvl="0" w:tentative="0">
      <w:start w:val="1"/>
      <w:numFmt w:val="upperLetter"/>
      <w:pStyle w:val="90"/>
      <w:suff w:val="nothing"/>
      <w:lvlText w:val="附　录　%1"/>
      <w:lvlJc w:val="left"/>
      <w:pPr>
        <w:ind w:left="0" w:firstLine="0"/>
      </w:pPr>
    </w:lvl>
    <w:lvl w:ilvl="1" w:tentative="0">
      <w:start w:val="1"/>
      <w:numFmt w:val="decimal"/>
      <w:pStyle w:val="91"/>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99"/>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CEA2025"/>
    <w:multiLevelType w:val="multilevel"/>
    <w:tmpl w:val="6CEA2025"/>
    <w:lvl w:ilvl="0" w:tentative="0">
      <w:start w:val="1"/>
      <w:numFmt w:val="none"/>
      <w:pStyle w:val="55"/>
      <w:suff w:val="nothing"/>
      <w:lvlText w:val="%1"/>
      <w:lvlJc w:val="left"/>
      <w:rPr>
        <w:rFonts w:hint="default" w:ascii="Times New Roman" w:hAnsi="Times New Roman" w:cs="Times New Roman"/>
        <w:b/>
        <w:bCs/>
        <w:i w:val="0"/>
        <w:iCs w:val="0"/>
        <w:sz w:val="21"/>
        <w:szCs w:val="21"/>
      </w:rPr>
    </w:lvl>
    <w:lvl w:ilvl="1" w:tentative="0">
      <w:start w:val="1"/>
      <w:numFmt w:val="decimal"/>
      <w:pStyle w:val="42"/>
      <w:suff w:val="nothing"/>
      <w:lvlText w:val="%1%2　"/>
      <w:lvlJc w:val="left"/>
      <w:rPr>
        <w:rFonts w:hint="eastAsia" w:ascii="黑体" w:hAnsi="Times New Roman" w:eastAsia="黑体"/>
        <w:b w:val="0"/>
        <w:bCs w:val="0"/>
        <w:i w:val="0"/>
        <w:iCs w:val="0"/>
        <w:sz w:val="21"/>
        <w:szCs w:val="21"/>
      </w:rPr>
    </w:lvl>
    <w:lvl w:ilvl="2" w:tentative="0">
      <w:start w:val="1"/>
      <w:numFmt w:val="decimal"/>
      <w:pStyle w:val="54"/>
      <w:suff w:val="nothing"/>
      <w:lvlText w:val="%1%2.%3　"/>
      <w:lvlJc w:val="left"/>
      <w:rPr>
        <w:rFonts w:hint="eastAsia" w:ascii="黑体" w:hAnsi="Times New Roman" w:eastAsia="黑体"/>
        <w:b w:val="0"/>
        <w:bCs w:val="0"/>
        <w:i w:val="0"/>
        <w:iCs w:val="0"/>
        <w:sz w:val="21"/>
        <w:szCs w:val="21"/>
      </w:rPr>
    </w:lvl>
    <w:lvl w:ilvl="3" w:tentative="0">
      <w:start w:val="1"/>
      <w:numFmt w:val="decimal"/>
      <w:pStyle w:val="50"/>
      <w:suff w:val="nothing"/>
      <w:lvlText w:val="%1%2.%3.%4　"/>
      <w:lvlJc w:val="left"/>
      <w:rPr>
        <w:rFonts w:hint="eastAsia" w:ascii="黑体" w:hAnsi="Times New Roman" w:eastAsia="黑体"/>
        <w:b w:val="0"/>
        <w:bCs w:val="0"/>
        <w:i w:val="0"/>
        <w:iCs w:val="0"/>
        <w:sz w:val="21"/>
        <w:szCs w:val="21"/>
      </w:rPr>
    </w:lvl>
    <w:lvl w:ilvl="4" w:tentative="0">
      <w:start w:val="1"/>
      <w:numFmt w:val="decimal"/>
      <w:pStyle w:val="51"/>
      <w:suff w:val="nothing"/>
      <w:lvlText w:val="%1%2.%3.%4.%5　"/>
      <w:lvlJc w:val="left"/>
      <w:rPr>
        <w:rFonts w:hint="eastAsia" w:ascii="黑体" w:hAnsi="Times New Roman" w:eastAsia="黑体"/>
        <w:b w:val="0"/>
        <w:bCs w:val="0"/>
        <w:i w:val="0"/>
        <w:iCs w:val="0"/>
        <w:sz w:val="21"/>
        <w:szCs w:val="21"/>
      </w:rPr>
    </w:lvl>
    <w:lvl w:ilvl="5" w:tentative="0">
      <w:start w:val="1"/>
      <w:numFmt w:val="decimal"/>
      <w:pStyle w:val="52"/>
      <w:suff w:val="nothing"/>
      <w:lvlText w:val="%1%2.%3.%4.%5.%6　"/>
      <w:lvlJc w:val="left"/>
      <w:rPr>
        <w:rFonts w:hint="eastAsia" w:ascii="黑体" w:hAnsi="Times New Roman" w:eastAsia="黑体"/>
        <w:b w:val="0"/>
        <w:bCs w:val="0"/>
        <w:i w:val="0"/>
        <w:iCs w:val="0"/>
        <w:sz w:val="21"/>
        <w:szCs w:val="21"/>
      </w:rPr>
    </w:lvl>
    <w:lvl w:ilvl="6" w:tentative="0">
      <w:start w:val="1"/>
      <w:numFmt w:val="decimal"/>
      <w:pStyle w:val="53"/>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6"/>
  </w:num>
  <w:num w:numId="2">
    <w:abstractNumId w:val="1"/>
  </w:num>
  <w:num w:numId="3">
    <w:abstractNumId w:val="0"/>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evenAndOddHeaders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0MWY0Yjg0MDNiYTgyNjZmNDJmMTY3YzM4NzAzZTcifQ=="/>
  </w:docVars>
  <w:rsids>
    <w:rsidRoot w:val="00197850"/>
    <w:rsid w:val="00015742"/>
    <w:rsid w:val="000264E8"/>
    <w:rsid w:val="00027D5A"/>
    <w:rsid w:val="00031BBE"/>
    <w:rsid w:val="000339ED"/>
    <w:rsid w:val="0003430E"/>
    <w:rsid w:val="000346B1"/>
    <w:rsid w:val="000362E6"/>
    <w:rsid w:val="00042A58"/>
    <w:rsid w:val="00043BBF"/>
    <w:rsid w:val="0004662A"/>
    <w:rsid w:val="00046953"/>
    <w:rsid w:val="00053A6B"/>
    <w:rsid w:val="00054640"/>
    <w:rsid w:val="000546F8"/>
    <w:rsid w:val="000579A2"/>
    <w:rsid w:val="00062237"/>
    <w:rsid w:val="0006367C"/>
    <w:rsid w:val="00070559"/>
    <w:rsid w:val="00070848"/>
    <w:rsid w:val="0007115C"/>
    <w:rsid w:val="00073016"/>
    <w:rsid w:val="00075356"/>
    <w:rsid w:val="00082CDB"/>
    <w:rsid w:val="0008577B"/>
    <w:rsid w:val="00085AB7"/>
    <w:rsid w:val="000867D3"/>
    <w:rsid w:val="00096F1E"/>
    <w:rsid w:val="000972A7"/>
    <w:rsid w:val="000A6392"/>
    <w:rsid w:val="000A66A4"/>
    <w:rsid w:val="000B5921"/>
    <w:rsid w:val="000B6447"/>
    <w:rsid w:val="000C714D"/>
    <w:rsid w:val="000C7161"/>
    <w:rsid w:val="000C717F"/>
    <w:rsid w:val="000D02B2"/>
    <w:rsid w:val="000D3E2B"/>
    <w:rsid w:val="000D484C"/>
    <w:rsid w:val="000D59E9"/>
    <w:rsid w:val="00101835"/>
    <w:rsid w:val="001049A4"/>
    <w:rsid w:val="0011143D"/>
    <w:rsid w:val="00114D03"/>
    <w:rsid w:val="00114E05"/>
    <w:rsid w:val="0011694B"/>
    <w:rsid w:val="0012067B"/>
    <w:rsid w:val="001206E3"/>
    <w:rsid w:val="00123A12"/>
    <w:rsid w:val="00126DF5"/>
    <w:rsid w:val="001358B0"/>
    <w:rsid w:val="00136997"/>
    <w:rsid w:val="00142959"/>
    <w:rsid w:val="00145B60"/>
    <w:rsid w:val="00146A90"/>
    <w:rsid w:val="001537A7"/>
    <w:rsid w:val="00153FFF"/>
    <w:rsid w:val="0015626C"/>
    <w:rsid w:val="001606F7"/>
    <w:rsid w:val="00160CC4"/>
    <w:rsid w:val="001622E6"/>
    <w:rsid w:val="00172B3E"/>
    <w:rsid w:val="00177B17"/>
    <w:rsid w:val="00177F1B"/>
    <w:rsid w:val="00180BB3"/>
    <w:rsid w:val="00181276"/>
    <w:rsid w:val="00182A98"/>
    <w:rsid w:val="00185841"/>
    <w:rsid w:val="00185F6F"/>
    <w:rsid w:val="00186CCB"/>
    <w:rsid w:val="001933D5"/>
    <w:rsid w:val="00197850"/>
    <w:rsid w:val="001B753B"/>
    <w:rsid w:val="001C207B"/>
    <w:rsid w:val="001C626A"/>
    <w:rsid w:val="001C7C17"/>
    <w:rsid w:val="001D1363"/>
    <w:rsid w:val="001D1AEE"/>
    <w:rsid w:val="001D77DA"/>
    <w:rsid w:val="001D7C7B"/>
    <w:rsid w:val="001E4905"/>
    <w:rsid w:val="001E57FE"/>
    <w:rsid w:val="001E61AF"/>
    <w:rsid w:val="001F1269"/>
    <w:rsid w:val="001F4DA4"/>
    <w:rsid w:val="001F66A7"/>
    <w:rsid w:val="00201A9F"/>
    <w:rsid w:val="00214BAB"/>
    <w:rsid w:val="00226676"/>
    <w:rsid w:val="00226ABA"/>
    <w:rsid w:val="00230E80"/>
    <w:rsid w:val="00232B53"/>
    <w:rsid w:val="002369AD"/>
    <w:rsid w:val="0024058F"/>
    <w:rsid w:val="00241071"/>
    <w:rsid w:val="002424D8"/>
    <w:rsid w:val="0024336C"/>
    <w:rsid w:val="0024789B"/>
    <w:rsid w:val="00250689"/>
    <w:rsid w:val="00257D51"/>
    <w:rsid w:val="00260CB8"/>
    <w:rsid w:val="002622F7"/>
    <w:rsid w:val="002624C4"/>
    <w:rsid w:val="002637C2"/>
    <w:rsid w:val="00265E44"/>
    <w:rsid w:val="00270378"/>
    <w:rsid w:val="00270DBB"/>
    <w:rsid w:val="00272374"/>
    <w:rsid w:val="00274CBC"/>
    <w:rsid w:val="00276D36"/>
    <w:rsid w:val="00277943"/>
    <w:rsid w:val="00285BAE"/>
    <w:rsid w:val="00293843"/>
    <w:rsid w:val="0029450A"/>
    <w:rsid w:val="00294B82"/>
    <w:rsid w:val="002A1BB8"/>
    <w:rsid w:val="002A1CB1"/>
    <w:rsid w:val="002A2813"/>
    <w:rsid w:val="002A2C17"/>
    <w:rsid w:val="002A518B"/>
    <w:rsid w:val="002A558B"/>
    <w:rsid w:val="002B2331"/>
    <w:rsid w:val="002B3305"/>
    <w:rsid w:val="002B3A81"/>
    <w:rsid w:val="002C1E25"/>
    <w:rsid w:val="002C27C3"/>
    <w:rsid w:val="002C7B57"/>
    <w:rsid w:val="002D5564"/>
    <w:rsid w:val="002F1FE6"/>
    <w:rsid w:val="002F37B2"/>
    <w:rsid w:val="002F4A5C"/>
    <w:rsid w:val="002F5178"/>
    <w:rsid w:val="002F7E53"/>
    <w:rsid w:val="0030041F"/>
    <w:rsid w:val="003008C9"/>
    <w:rsid w:val="00300F34"/>
    <w:rsid w:val="0030463B"/>
    <w:rsid w:val="00305645"/>
    <w:rsid w:val="0031575C"/>
    <w:rsid w:val="003171E4"/>
    <w:rsid w:val="00321F96"/>
    <w:rsid w:val="00323A46"/>
    <w:rsid w:val="0032733A"/>
    <w:rsid w:val="003329C1"/>
    <w:rsid w:val="0033307A"/>
    <w:rsid w:val="0033354B"/>
    <w:rsid w:val="00333C16"/>
    <w:rsid w:val="00333F0E"/>
    <w:rsid w:val="003350C0"/>
    <w:rsid w:val="003373A6"/>
    <w:rsid w:val="0033755E"/>
    <w:rsid w:val="003474F3"/>
    <w:rsid w:val="003478EE"/>
    <w:rsid w:val="00347AFE"/>
    <w:rsid w:val="003525B6"/>
    <w:rsid w:val="00352F36"/>
    <w:rsid w:val="003535D3"/>
    <w:rsid w:val="00353DD1"/>
    <w:rsid w:val="00353FD3"/>
    <w:rsid w:val="00355979"/>
    <w:rsid w:val="00355B99"/>
    <w:rsid w:val="0035700F"/>
    <w:rsid w:val="00361C8B"/>
    <w:rsid w:val="00371A30"/>
    <w:rsid w:val="00380DD9"/>
    <w:rsid w:val="003853D6"/>
    <w:rsid w:val="0038573B"/>
    <w:rsid w:val="003867C4"/>
    <w:rsid w:val="00391F84"/>
    <w:rsid w:val="0039210C"/>
    <w:rsid w:val="0039280A"/>
    <w:rsid w:val="003936DE"/>
    <w:rsid w:val="00397B83"/>
    <w:rsid w:val="003A15DF"/>
    <w:rsid w:val="003A24BE"/>
    <w:rsid w:val="003B392B"/>
    <w:rsid w:val="003B7216"/>
    <w:rsid w:val="003B73FE"/>
    <w:rsid w:val="003C3CCA"/>
    <w:rsid w:val="003C3E70"/>
    <w:rsid w:val="003C4EBD"/>
    <w:rsid w:val="003C752F"/>
    <w:rsid w:val="003C7B19"/>
    <w:rsid w:val="003D08B8"/>
    <w:rsid w:val="003D4BB9"/>
    <w:rsid w:val="003D5692"/>
    <w:rsid w:val="003D63E2"/>
    <w:rsid w:val="003D6476"/>
    <w:rsid w:val="003D6612"/>
    <w:rsid w:val="003E1BCE"/>
    <w:rsid w:val="003E2628"/>
    <w:rsid w:val="003E6CA6"/>
    <w:rsid w:val="003F2EC4"/>
    <w:rsid w:val="003F3C99"/>
    <w:rsid w:val="003F4FA2"/>
    <w:rsid w:val="00400BA2"/>
    <w:rsid w:val="00403B8D"/>
    <w:rsid w:val="00416390"/>
    <w:rsid w:val="00422CB4"/>
    <w:rsid w:val="0042537E"/>
    <w:rsid w:val="00432E59"/>
    <w:rsid w:val="00433433"/>
    <w:rsid w:val="00435FE2"/>
    <w:rsid w:val="00445DC4"/>
    <w:rsid w:val="00450DE5"/>
    <w:rsid w:val="0045164E"/>
    <w:rsid w:val="004524E3"/>
    <w:rsid w:val="00453DB6"/>
    <w:rsid w:val="004707D2"/>
    <w:rsid w:val="00476A50"/>
    <w:rsid w:val="00480644"/>
    <w:rsid w:val="00484237"/>
    <w:rsid w:val="0048543F"/>
    <w:rsid w:val="004929B6"/>
    <w:rsid w:val="00495E73"/>
    <w:rsid w:val="004963BD"/>
    <w:rsid w:val="004A208C"/>
    <w:rsid w:val="004A3C6A"/>
    <w:rsid w:val="004A4462"/>
    <w:rsid w:val="004B39AC"/>
    <w:rsid w:val="004B48CD"/>
    <w:rsid w:val="004B62C8"/>
    <w:rsid w:val="004B695C"/>
    <w:rsid w:val="004C1995"/>
    <w:rsid w:val="004C5206"/>
    <w:rsid w:val="004C5F51"/>
    <w:rsid w:val="004C60E0"/>
    <w:rsid w:val="004E3F79"/>
    <w:rsid w:val="004E415D"/>
    <w:rsid w:val="004E6296"/>
    <w:rsid w:val="004F1453"/>
    <w:rsid w:val="004F36EC"/>
    <w:rsid w:val="004F398E"/>
    <w:rsid w:val="004F6362"/>
    <w:rsid w:val="0050258A"/>
    <w:rsid w:val="0050399B"/>
    <w:rsid w:val="00503E6C"/>
    <w:rsid w:val="00507E75"/>
    <w:rsid w:val="005100A7"/>
    <w:rsid w:val="00511CB1"/>
    <w:rsid w:val="005129CF"/>
    <w:rsid w:val="005140CA"/>
    <w:rsid w:val="0051518A"/>
    <w:rsid w:val="005166FA"/>
    <w:rsid w:val="00520BEA"/>
    <w:rsid w:val="00521F00"/>
    <w:rsid w:val="00521F0B"/>
    <w:rsid w:val="00521F9C"/>
    <w:rsid w:val="0052218B"/>
    <w:rsid w:val="00522922"/>
    <w:rsid w:val="00526660"/>
    <w:rsid w:val="0053188A"/>
    <w:rsid w:val="005329EC"/>
    <w:rsid w:val="00532CFF"/>
    <w:rsid w:val="005354A0"/>
    <w:rsid w:val="00541077"/>
    <w:rsid w:val="00542E1B"/>
    <w:rsid w:val="0054355C"/>
    <w:rsid w:val="0054501B"/>
    <w:rsid w:val="0054544E"/>
    <w:rsid w:val="00545F7F"/>
    <w:rsid w:val="00552EA0"/>
    <w:rsid w:val="00554453"/>
    <w:rsid w:val="00555039"/>
    <w:rsid w:val="00556DE0"/>
    <w:rsid w:val="005676FC"/>
    <w:rsid w:val="0057551E"/>
    <w:rsid w:val="005801BA"/>
    <w:rsid w:val="005840B2"/>
    <w:rsid w:val="005849B5"/>
    <w:rsid w:val="005871F8"/>
    <w:rsid w:val="00592522"/>
    <w:rsid w:val="005A1FBD"/>
    <w:rsid w:val="005A4FB5"/>
    <w:rsid w:val="005B152E"/>
    <w:rsid w:val="005B1A01"/>
    <w:rsid w:val="005B1BC3"/>
    <w:rsid w:val="005C3218"/>
    <w:rsid w:val="005C4B6C"/>
    <w:rsid w:val="005C4BB1"/>
    <w:rsid w:val="005C5140"/>
    <w:rsid w:val="005D06BF"/>
    <w:rsid w:val="005D2406"/>
    <w:rsid w:val="005D28BA"/>
    <w:rsid w:val="005D2A9F"/>
    <w:rsid w:val="005D3377"/>
    <w:rsid w:val="005E2B14"/>
    <w:rsid w:val="005E34EB"/>
    <w:rsid w:val="005E3E62"/>
    <w:rsid w:val="005E7062"/>
    <w:rsid w:val="005F50DA"/>
    <w:rsid w:val="005F5F5F"/>
    <w:rsid w:val="005F7C28"/>
    <w:rsid w:val="005F7C9C"/>
    <w:rsid w:val="006040DA"/>
    <w:rsid w:val="0061412E"/>
    <w:rsid w:val="00616CE4"/>
    <w:rsid w:val="006175A2"/>
    <w:rsid w:val="006178D6"/>
    <w:rsid w:val="0062136E"/>
    <w:rsid w:val="006230EA"/>
    <w:rsid w:val="00623115"/>
    <w:rsid w:val="00623255"/>
    <w:rsid w:val="00624816"/>
    <w:rsid w:val="006323F9"/>
    <w:rsid w:val="00633103"/>
    <w:rsid w:val="00642708"/>
    <w:rsid w:val="0064500D"/>
    <w:rsid w:val="00652957"/>
    <w:rsid w:val="00656932"/>
    <w:rsid w:val="006617E6"/>
    <w:rsid w:val="00662A9E"/>
    <w:rsid w:val="006657EB"/>
    <w:rsid w:val="0066634E"/>
    <w:rsid w:val="00666F1B"/>
    <w:rsid w:val="00670009"/>
    <w:rsid w:val="00670070"/>
    <w:rsid w:val="006714B6"/>
    <w:rsid w:val="0067619F"/>
    <w:rsid w:val="00680F62"/>
    <w:rsid w:val="00682F63"/>
    <w:rsid w:val="00685450"/>
    <w:rsid w:val="0068624F"/>
    <w:rsid w:val="00686E97"/>
    <w:rsid w:val="00691DB8"/>
    <w:rsid w:val="00697256"/>
    <w:rsid w:val="006A4330"/>
    <w:rsid w:val="006A473E"/>
    <w:rsid w:val="006A4AAC"/>
    <w:rsid w:val="006B13F0"/>
    <w:rsid w:val="006B1D4D"/>
    <w:rsid w:val="006C1C96"/>
    <w:rsid w:val="006C7AFC"/>
    <w:rsid w:val="006C7F26"/>
    <w:rsid w:val="006D0B61"/>
    <w:rsid w:val="006D1957"/>
    <w:rsid w:val="006D2D20"/>
    <w:rsid w:val="006D3B1E"/>
    <w:rsid w:val="006D5522"/>
    <w:rsid w:val="006E42E4"/>
    <w:rsid w:val="006E4C58"/>
    <w:rsid w:val="006E74A2"/>
    <w:rsid w:val="006E7EDA"/>
    <w:rsid w:val="006F3F3A"/>
    <w:rsid w:val="006F6631"/>
    <w:rsid w:val="007007D2"/>
    <w:rsid w:val="00701791"/>
    <w:rsid w:val="0070242B"/>
    <w:rsid w:val="00704BD6"/>
    <w:rsid w:val="0070625B"/>
    <w:rsid w:val="00706AA9"/>
    <w:rsid w:val="00715966"/>
    <w:rsid w:val="0071776D"/>
    <w:rsid w:val="0072339B"/>
    <w:rsid w:val="007255BA"/>
    <w:rsid w:val="00725B2B"/>
    <w:rsid w:val="00733EC1"/>
    <w:rsid w:val="00734678"/>
    <w:rsid w:val="00734846"/>
    <w:rsid w:val="007348D0"/>
    <w:rsid w:val="00735EA5"/>
    <w:rsid w:val="007435E0"/>
    <w:rsid w:val="007465BC"/>
    <w:rsid w:val="00752A9B"/>
    <w:rsid w:val="007631A6"/>
    <w:rsid w:val="007651E6"/>
    <w:rsid w:val="007656F8"/>
    <w:rsid w:val="00784C08"/>
    <w:rsid w:val="00790330"/>
    <w:rsid w:val="0079301E"/>
    <w:rsid w:val="00796179"/>
    <w:rsid w:val="007968E1"/>
    <w:rsid w:val="007A1AF7"/>
    <w:rsid w:val="007A2867"/>
    <w:rsid w:val="007A34FE"/>
    <w:rsid w:val="007A777A"/>
    <w:rsid w:val="007B0B69"/>
    <w:rsid w:val="007B504A"/>
    <w:rsid w:val="007B6C25"/>
    <w:rsid w:val="007C08A7"/>
    <w:rsid w:val="007C2122"/>
    <w:rsid w:val="007C46CF"/>
    <w:rsid w:val="007C575A"/>
    <w:rsid w:val="007C7A06"/>
    <w:rsid w:val="007D3060"/>
    <w:rsid w:val="007D5A1E"/>
    <w:rsid w:val="007D6112"/>
    <w:rsid w:val="007D6684"/>
    <w:rsid w:val="007D67D9"/>
    <w:rsid w:val="007E5144"/>
    <w:rsid w:val="007E72E8"/>
    <w:rsid w:val="007E787E"/>
    <w:rsid w:val="007F10D9"/>
    <w:rsid w:val="007F1613"/>
    <w:rsid w:val="007F4AAF"/>
    <w:rsid w:val="007F75C0"/>
    <w:rsid w:val="007F7A45"/>
    <w:rsid w:val="008018B7"/>
    <w:rsid w:val="008019CA"/>
    <w:rsid w:val="00803CAB"/>
    <w:rsid w:val="00804B58"/>
    <w:rsid w:val="00805770"/>
    <w:rsid w:val="0080692C"/>
    <w:rsid w:val="00807B74"/>
    <w:rsid w:val="0081077F"/>
    <w:rsid w:val="00815459"/>
    <w:rsid w:val="00816673"/>
    <w:rsid w:val="00820C97"/>
    <w:rsid w:val="00821F71"/>
    <w:rsid w:val="00823442"/>
    <w:rsid w:val="00823EBA"/>
    <w:rsid w:val="008263E9"/>
    <w:rsid w:val="00826E98"/>
    <w:rsid w:val="00834A27"/>
    <w:rsid w:val="0083749F"/>
    <w:rsid w:val="00843A65"/>
    <w:rsid w:val="00845DFF"/>
    <w:rsid w:val="00847610"/>
    <w:rsid w:val="00851295"/>
    <w:rsid w:val="008528DB"/>
    <w:rsid w:val="00855261"/>
    <w:rsid w:val="00865E65"/>
    <w:rsid w:val="00872178"/>
    <w:rsid w:val="0087534F"/>
    <w:rsid w:val="0087560D"/>
    <w:rsid w:val="0087561A"/>
    <w:rsid w:val="00876C1C"/>
    <w:rsid w:val="008840FA"/>
    <w:rsid w:val="008851BC"/>
    <w:rsid w:val="00885619"/>
    <w:rsid w:val="008864C5"/>
    <w:rsid w:val="00886D1D"/>
    <w:rsid w:val="008878B0"/>
    <w:rsid w:val="00890A5A"/>
    <w:rsid w:val="008A2B52"/>
    <w:rsid w:val="008B233A"/>
    <w:rsid w:val="008B2AA5"/>
    <w:rsid w:val="008B46EA"/>
    <w:rsid w:val="008C0620"/>
    <w:rsid w:val="008C3961"/>
    <w:rsid w:val="008C3D80"/>
    <w:rsid w:val="008C6CB6"/>
    <w:rsid w:val="008D37F6"/>
    <w:rsid w:val="008D709B"/>
    <w:rsid w:val="008D7B17"/>
    <w:rsid w:val="008E020F"/>
    <w:rsid w:val="008E1349"/>
    <w:rsid w:val="008E3245"/>
    <w:rsid w:val="008E765C"/>
    <w:rsid w:val="008F2C17"/>
    <w:rsid w:val="008F71AF"/>
    <w:rsid w:val="008F7666"/>
    <w:rsid w:val="0090027E"/>
    <w:rsid w:val="00914FB6"/>
    <w:rsid w:val="00916F59"/>
    <w:rsid w:val="0091769A"/>
    <w:rsid w:val="00920A9D"/>
    <w:rsid w:val="0092393E"/>
    <w:rsid w:val="00924F07"/>
    <w:rsid w:val="009267EB"/>
    <w:rsid w:val="0093006A"/>
    <w:rsid w:val="009320B2"/>
    <w:rsid w:val="00940138"/>
    <w:rsid w:val="00945ED5"/>
    <w:rsid w:val="0094608C"/>
    <w:rsid w:val="00951EDC"/>
    <w:rsid w:val="00955ED7"/>
    <w:rsid w:val="00956EE0"/>
    <w:rsid w:val="00963578"/>
    <w:rsid w:val="009732B5"/>
    <w:rsid w:val="0098603A"/>
    <w:rsid w:val="00987908"/>
    <w:rsid w:val="0099106A"/>
    <w:rsid w:val="00991DF2"/>
    <w:rsid w:val="009A548D"/>
    <w:rsid w:val="009A6675"/>
    <w:rsid w:val="009A7808"/>
    <w:rsid w:val="009B1631"/>
    <w:rsid w:val="009B4859"/>
    <w:rsid w:val="009C0EB4"/>
    <w:rsid w:val="009C1342"/>
    <w:rsid w:val="009C278B"/>
    <w:rsid w:val="009C3B90"/>
    <w:rsid w:val="009C4E41"/>
    <w:rsid w:val="009D24B4"/>
    <w:rsid w:val="009D51F9"/>
    <w:rsid w:val="009E1A10"/>
    <w:rsid w:val="009E1E79"/>
    <w:rsid w:val="009E393B"/>
    <w:rsid w:val="009E3BD0"/>
    <w:rsid w:val="009F2EFC"/>
    <w:rsid w:val="009F2F81"/>
    <w:rsid w:val="009F3D9E"/>
    <w:rsid w:val="009F439A"/>
    <w:rsid w:val="00A03B1E"/>
    <w:rsid w:val="00A03FF5"/>
    <w:rsid w:val="00A0619D"/>
    <w:rsid w:val="00A11371"/>
    <w:rsid w:val="00A27208"/>
    <w:rsid w:val="00A30394"/>
    <w:rsid w:val="00A3378D"/>
    <w:rsid w:val="00A34362"/>
    <w:rsid w:val="00A34615"/>
    <w:rsid w:val="00A367C8"/>
    <w:rsid w:val="00A40E5F"/>
    <w:rsid w:val="00A41150"/>
    <w:rsid w:val="00A431D7"/>
    <w:rsid w:val="00A45401"/>
    <w:rsid w:val="00A45DF3"/>
    <w:rsid w:val="00A47163"/>
    <w:rsid w:val="00A51F65"/>
    <w:rsid w:val="00A546C6"/>
    <w:rsid w:val="00A64D7D"/>
    <w:rsid w:val="00A65477"/>
    <w:rsid w:val="00A65F94"/>
    <w:rsid w:val="00A6675C"/>
    <w:rsid w:val="00A716B8"/>
    <w:rsid w:val="00A734A6"/>
    <w:rsid w:val="00A736B3"/>
    <w:rsid w:val="00A73728"/>
    <w:rsid w:val="00A74FE1"/>
    <w:rsid w:val="00A7685F"/>
    <w:rsid w:val="00A7729E"/>
    <w:rsid w:val="00A80191"/>
    <w:rsid w:val="00A82A3E"/>
    <w:rsid w:val="00A85ADC"/>
    <w:rsid w:val="00A86E9A"/>
    <w:rsid w:val="00A93B15"/>
    <w:rsid w:val="00A9477A"/>
    <w:rsid w:val="00AA156F"/>
    <w:rsid w:val="00AA21C1"/>
    <w:rsid w:val="00AA2495"/>
    <w:rsid w:val="00AA28E7"/>
    <w:rsid w:val="00AA7EC2"/>
    <w:rsid w:val="00AB11BF"/>
    <w:rsid w:val="00AC0DFD"/>
    <w:rsid w:val="00AC7A45"/>
    <w:rsid w:val="00AD67C1"/>
    <w:rsid w:val="00AD7D59"/>
    <w:rsid w:val="00AE34C0"/>
    <w:rsid w:val="00AE45FA"/>
    <w:rsid w:val="00AE7E3A"/>
    <w:rsid w:val="00AF0EE3"/>
    <w:rsid w:val="00AF6868"/>
    <w:rsid w:val="00B01962"/>
    <w:rsid w:val="00B069F5"/>
    <w:rsid w:val="00B117A3"/>
    <w:rsid w:val="00B121CE"/>
    <w:rsid w:val="00B1305F"/>
    <w:rsid w:val="00B13D5F"/>
    <w:rsid w:val="00B15034"/>
    <w:rsid w:val="00B20408"/>
    <w:rsid w:val="00B27BFD"/>
    <w:rsid w:val="00B32D61"/>
    <w:rsid w:val="00B34A28"/>
    <w:rsid w:val="00B44106"/>
    <w:rsid w:val="00B53A4F"/>
    <w:rsid w:val="00B53BB9"/>
    <w:rsid w:val="00B57B9C"/>
    <w:rsid w:val="00B635BE"/>
    <w:rsid w:val="00B63910"/>
    <w:rsid w:val="00B64694"/>
    <w:rsid w:val="00B674CF"/>
    <w:rsid w:val="00B702B9"/>
    <w:rsid w:val="00B75CBB"/>
    <w:rsid w:val="00B84297"/>
    <w:rsid w:val="00B84E0E"/>
    <w:rsid w:val="00B942A4"/>
    <w:rsid w:val="00BA1ED4"/>
    <w:rsid w:val="00BB0EDA"/>
    <w:rsid w:val="00BB2B97"/>
    <w:rsid w:val="00BB3C8D"/>
    <w:rsid w:val="00BC1DD7"/>
    <w:rsid w:val="00BC36DD"/>
    <w:rsid w:val="00BD1C70"/>
    <w:rsid w:val="00BD25CF"/>
    <w:rsid w:val="00BD37F9"/>
    <w:rsid w:val="00BD4562"/>
    <w:rsid w:val="00BE5EE4"/>
    <w:rsid w:val="00BF3390"/>
    <w:rsid w:val="00BF3DBD"/>
    <w:rsid w:val="00BF51F3"/>
    <w:rsid w:val="00C01CB7"/>
    <w:rsid w:val="00C02604"/>
    <w:rsid w:val="00C06BEF"/>
    <w:rsid w:val="00C07360"/>
    <w:rsid w:val="00C104DC"/>
    <w:rsid w:val="00C12581"/>
    <w:rsid w:val="00C243E2"/>
    <w:rsid w:val="00C257CE"/>
    <w:rsid w:val="00C26847"/>
    <w:rsid w:val="00C302BB"/>
    <w:rsid w:val="00C35178"/>
    <w:rsid w:val="00C4331C"/>
    <w:rsid w:val="00C44C91"/>
    <w:rsid w:val="00C44F61"/>
    <w:rsid w:val="00C552AD"/>
    <w:rsid w:val="00C610BF"/>
    <w:rsid w:val="00C659AC"/>
    <w:rsid w:val="00C65CCF"/>
    <w:rsid w:val="00C66161"/>
    <w:rsid w:val="00C66C1A"/>
    <w:rsid w:val="00C700C7"/>
    <w:rsid w:val="00C708C9"/>
    <w:rsid w:val="00C7325D"/>
    <w:rsid w:val="00C73CA9"/>
    <w:rsid w:val="00C8112E"/>
    <w:rsid w:val="00C81E41"/>
    <w:rsid w:val="00C82384"/>
    <w:rsid w:val="00C82988"/>
    <w:rsid w:val="00C82D0E"/>
    <w:rsid w:val="00C84829"/>
    <w:rsid w:val="00C91432"/>
    <w:rsid w:val="00C91514"/>
    <w:rsid w:val="00C91C4D"/>
    <w:rsid w:val="00C9490E"/>
    <w:rsid w:val="00C9652D"/>
    <w:rsid w:val="00CA656E"/>
    <w:rsid w:val="00CB08B7"/>
    <w:rsid w:val="00CB1697"/>
    <w:rsid w:val="00CB2FE2"/>
    <w:rsid w:val="00CB4B9D"/>
    <w:rsid w:val="00CC0342"/>
    <w:rsid w:val="00CC4B17"/>
    <w:rsid w:val="00CD2A2C"/>
    <w:rsid w:val="00CD30E8"/>
    <w:rsid w:val="00CE4345"/>
    <w:rsid w:val="00CF7042"/>
    <w:rsid w:val="00D00200"/>
    <w:rsid w:val="00D00379"/>
    <w:rsid w:val="00D00731"/>
    <w:rsid w:val="00D06B31"/>
    <w:rsid w:val="00D06FAB"/>
    <w:rsid w:val="00D13566"/>
    <w:rsid w:val="00D13632"/>
    <w:rsid w:val="00D13FA8"/>
    <w:rsid w:val="00D14F82"/>
    <w:rsid w:val="00D170D5"/>
    <w:rsid w:val="00D17B14"/>
    <w:rsid w:val="00D21ECF"/>
    <w:rsid w:val="00D265F0"/>
    <w:rsid w:val="00D30D16"/>
    <w:rsid w:val="00D31F86"/>
    <w:rsid w:val="00D33F37"/>
    <w:rsid w:val="00D36217"/>
    <w:rsid w:val="00D36C1C"/>
    <w:rsid w:val="00D52AB6"/>
    <w:rsid w:val="00D61BF7"/>
    <w:rsid w:val="00D73188"/>
    <w:rsid w:val="00D762DB"/>
    <w:rsid w:val="00D821A9"/>
    <w:rsid w:val="00D85888"/>
    <w:rsid w:val="00D92432"/>
    <w:rsid w:val="00D9379C"/>
    <w:rsid w:val="00D966A2"/>
    <w:rsid w:val="00DA0C82"/>
    <w:rsid w:val="00DA3B99"/>
    <w:rsid w:val="00DB1AE9"/>
    <w:rsid w:val="00DB2177"/>
    <w:rsid w:val="00DB6EC2"/>
    <w:rsid w:val="00DC136A"/>
    <w:rsid w:val="00DC2799"/>
    <w:rsid w:val="00DC4163"/>
    <w:rsid w:val="00DC46DC"/>
    <w:rsid w:val="00DC6879"/>
    <w:rsid w:val="00DD0E44"/>
    <w:rsid w:val="00DD36A1"/>
    <w:rsid w:val="00DF0D55"/>
    <w:rsid w:val="00DF2081"/>
    <w:rsid w:val="00DF630E"/>
    <w:rsid w:val="00DF6621"/>
    <w:rsid w:val="00E00C7F"/>
    <w:rsid w:val="00E12492"/>
    <w:rsid w:val="00E14BB9"/>
    <w:rsid w:val="00E171AF"/>
    <w:rsid w:val="00E22B9D"/>
    <w:rsid w:val="00E237C7"/>
    <w:rsid w:val="00E431B1"/>
    <w:rsid w:val="00E44D5B"/>
    <w:rsid w:val="00E46224"/>
    <w:rsid w:val="00E46E50"/>
    <w:rsid w:val="00E620CA"/>
    <w:rsid w:val="00E67219"/>
    <w:rsid w:val="00E7109A"/>
    <w:rsid w:val="00E71228"/>
    <w:rsid w:val="00E72C69"/>
    <w:rsid w:val="00E72F68"/>
    <w:rsid w:val="00E76F7B"/>
    <w:rsid w:val="00E8066D"/>
    <w:rsid w:val="00E82704"/>
    <w:rsid w:val="00E8641B"/>
    <w:rsid w:val="00E864A0"/>
    <w:rsid w:val="00E91A93"/>
    <w:rsid w:val="00E923FC"/>
    <w:rsid w:val="00E956F8"/>
    <w:rsid w:val="00EA4F24"/>
    <w:rsid w:val="00EA5A10"/>
    <w:rsid w:val="00EB127D"/>
    <w:rsid w:val="00EB1D74"/>
    <w:rsid w:val="00EB3828"/>
    <w:rsid w:val="00EB7297"/>
    <w:rsid w:val="00EC654B"/>
    <w:rsid w:val="00EC79BA"/>
    <w:rsid w:val="00EC7D19"/>
    <w:rsid w:val="00ED18F5"/>
    <w:rsid w:val="00ED36D1"/>
    <w:rsid w:val="00ED4E70"/>
    <w:rsid w:val="00EF3379"/>
    <w:rsid w:val="00F01472"/>
    <w:rsid w:val="00F23A03"/>
    <w:rsid w:val="00F263FE"/>
    <w:rsid w:val="00F33591"/>
    <w:rsid w:val="00F35956"/>
    <w:rsid w:val="00F36CCA"/>
    <w:rsid w:val="00F36D91"/>
    <w:rsid w:val="00F528A7"/>
    <w:rsid w:val="00F609D4"/>
    <w:rsid w:val="00F6181B"/>
    <w:rsid w:val="00F71C34"/>
    <w:rsid w:val="00F72F5B"/>
    <w:rsid w:val="00F74DEC"/>
    <w:rsid w:val="00F74EA2"/>
    <w:rsid w:val="00F753E6"/>
    <w:rsid w:val="00F754C9"/>
    <w:rsid w:val="00F849E0"/>
    <w:rsid w:val="00F859A5"/>
    <w:rsid w:val="00F85CB0"/>
    <w:rsid w:val="00F875F0"/>
    <w:rsid w:val="00F90380"/>
    <w:rsid w:val="00F96ABD"/>
    <w:rsid w:val="00FA21E5"/>
    <w:rsid w:val="00FA5681"/>
    <w:rsid w:val="00FA598B"/>
    <w:rsid w:val="00FA7738"/>
    <w:rsid w:val="00FB3774"/>
    <w:rsid w:val="00FB3B49"/>
    <w:rsid w:val="00FB4877"/>
    <w:rsid w:val="00FB6812"/>
    <w:rsid w:val="00FC4A7D"/>
    <w:rsid w:val="00FC6BF5"/>
    <w:rsid w:val="00FD0A28"/>
    <w:rsid w:val="00FD303D"/>
    <w:rsid w:val="00FD32A9"/>
    <w:rsid w:val="00FD4187"/>
    <w:rsid w:val="00FE4811"/>
    <w:rsid w:val="00FE703B"/>
    <w:rsid w:val="00FF7E91"/>
    <w:rsid w:val="05096B07"/>
    <w:rsid w:val="054D733B"/>
    <w:rsid w:val="0A5371A2"/>
    <w:rsid w:val="0A917CCA"/>
    <w:rsid w:val="0AEA2F37"/>
    <w:rsid w:val="0FFA00C0"/>
    <w:rsid w:val="100D394F"/>
    <w:rsid w:val="11627CCB"/>
    <w:rsid w:val="1356385F"/>
    <w:rsid w:val="15C50828"/>
    <w:rsid w:val="166E7112"/>
    <w:rsid w:val="199E386A"/>
    <w:rsid w:val="19AA220F"/>
    <w:rsid w:val="1D9C27B6"/>
    <w:rsid w:val="1EBD0C36"/>
    <w:rsid w:val="1EC024D4"/>
    <w:rsid w:val="1F7F413E"/>
    <w:rsid w:val="20266382"/>
    <w:rsid w:val="20F16975"/>
    <w:rsid w:val="22BB36DF"/>
    <w:rsid w:val="231D7EF5"/>
    <w:rsid w:val="23865A9B"/>
    <w:rsid w:val="276D7AF2"/>
    <w:rsid w:val="282F2F82"/>
    <w:rsid w:val="28DE1ED5"/>
    <w:rsid w:val="2CE63B68"/>
    <w:rsid w:val="2DB97690"/>
    <w:rsid w:val="2E163EBF"/>
    <w:rsid w:val="2EC4391B"/>
    <w:rsid w:val="2FEE5271"/>
    <w:rsid w:val="32E05BA8"/>
    <w:rsid w:val="331035D3"/>
    <w:rsid w:val="332B5D17"/>
    <w:rsid w:val="38123949"/>
    <w:rsid w:val="3891486E"/>
    <w:rsid w:val="3B0C28D2"/>
    <w:rsid w:val="3E426AB9"/>
    <w:rsid w:val="3F253F62"/>
    <w:rsid w:val="427C7176"/>
    <w:rsid w:val="42C27D1A"/>
    <w:rsid w:val="443F5AC6"/>
    <w:rsid w:val="44B67479"/>
    <w:rsid w:val="47152B0E"/>
    <w:rsid w:val="4AE42F23"/>
    <w:rsid w:val="4F1C2E7C"/>
    <w:rsid w:val="4F766114"/>
    <w:rsid w:val="50F32112"/>
    <w:rsid w:val="51695F30"/>
    <w:rsid w:val="536966BB"/>
    <w:rsid w:val="563F54B2"/>
    <w:rsid w:val="579D4B86"/>
    <w:rsid w:val="5B1E180D"/>
    <w:rsid w:val="5DBC7441"/>
    <w:rsid w:val="5E3653EC"/>
    <w:rsid w:val="61D618A6"/>
    <w:rsid w:val="65815AE7"/>
    <w:rsid w:val="67FB3202"/>
    <w:rsid w:val="684828EC"/>
    <w:rsid w:val="685968A7"/>
    <w:rsid w:val="69152A7B"/>
    <w:rsid w:val="6A9260A0"/>
    <w:rsid w:val="6AFB6C6A"/>
    <w:rsid w:val="6BEE7306"/>
    <w:rsid w:val="6E46167B"/>
    <w:rsid w:val="7113780F"/>
    <w:rsid w:val="71E511AB"/>
    <w:rsid w:val="76165DD7"/>
    <w:rsid w:val="763172F6"/>
    <w:rsid w:val="79BF22E2"/>
    <w:rsid w:val="7A04063C"/>
    <w:rsid w:val="7B786BEC"/>
    <w:rsid w:val="7BC62827"/>
    <w:rsid w:val="7EB50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400" w:lineRule="exact"/>
      <w:jc w:val="both"/>
    </w:pPr>
    <w:rPr>
      <w:rFonts w:ascii="Calibri" w:hAnsi="Calibri" w:eastAsia="宋体" w:cs="Calibri"/>
      <w:kern w:val="2"/>
      <w:sz w:val="21"/>
      <w:szCs w:val="21"/>
      <w:lang w:val="en-US" w:eastAsia="zh-CN" w:bidi="ar-SA"/>
    </w:rPr>
  </w:style>
  <w:style w:type="paragraph" w:styleId="2">
    <w:name w:val="heading 1"/>
    <w:basedOn w:val="1"/>
    <w:next w:val="1"/>
    <w:link w:val="31"/>
    <w:autoRedefine/>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2"/>
    <w:autoRedefine/>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33"/>
    <w:autoRedefine/>
    <w:unhideWhenUsed/>
    <w:qFormat/>
    <w:uiPriority w:val="9"/>
    <w:pPr>
      <w:keepNext/>
      <w:keepLines/>
      <w:spacing w:before="260" w:after="260" w:line="416" w:lineRule="atLeast"/>
      <w:outlineLvl w:val="2"/>
    </w:pPr>
    <w:rPr>
      <w:b/>
      <w:bCs/>
      <w:sz w:val="32"/>
      <w:szCs w:val="32"/>
    </w:rPr>
  </w:style>
  <w:style w:type="paragraph" w:styleId="5">
    <w:name w:val="heading 4"/>
    <w:basedOn w:val="1"/>
    <w:next w:val="1"/>
    <w:link w:val="34"/>
    <w:autoRedefine/>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6">
    <w:name w:val="heading 5"/>
    <w:basedOn w:val="1"/>
    <w:next w:val="1"/>
    <w:link w:val="35"/>
    <w:autoRedefine/>
    <w:unhideWhenUsed/>
    <w:qFormat/>
    <w:uiPriority w:val="9"/>
    <w:pPr>
      <w:keepNext/>
      <w:keepLines/>
      <w:spacing w:before="280" w:after="290" w:line="376" w:lineRule="atLeast"/>
      <w:outlineLvl w:val="4"/>
    </w:pPr>
    <w:rPr>
      <w:b/>
      <w:bCs/>
      <w:sz w:val="28"/>
      <w:szCs w:val="28"/>
    </w:rPr>
  </w:style>
  <w:style w:type="paragraph" w:styleId="7">
    <w:name w:val="heading 6"/>
    <w:basedOn w:val="1"/>
    <w:next w:val="1"/>
    <w:link w:val="36"/>
    <w:autoRedefine/>
    <w:unhideWhenUsed/>
    <w:qFormat/>
    <w:uiPriority w:val="9"/>
    <w:pPr>
      <w:keepNext/>
      <w:keepLines/>
      <w:spacing w:before="240" w:after="64" w:line="320" w:lineRule="atLeast"/>
      <w:outlineLvl w:val="5"/>
    </w:pPr>
    <w:rPr>
      <w:rFonts w:asciiTheme="majorHAnsi" w:hAnsiTheme="majorHAnsi" w:eastAsiaTheme="majorEastAsia" w:cstheme="majorBidi"/>
      <w:b/>
      <w:bCs/>
      <w:sz w:val="24"/>
      <w:szCs w:val="24"/>
    </w:rPr>
  </w:style>
  <w:style w:type="paragraph" w:styleId="8">
    <w:name w:val="heading 7"/>
    <w:basedOn w:val="1"/>
    <w:next w:val="1"/>
    <w:link w:val="37"/>
    <w:autoRedefine/>
    <w:unhideWhenUsed/>
    <w:qFormat/>
    <w:uiPriority w:val="9"/>
    <w:pPr>
      <w:keepNext/>
      <w:keepLines/>
      <w:spacing w:before="240" w:after="64" w:line="320" w:lineRule="atLeast"/>
      <w:outlineLvl w:val="6"/>
    </w:pPr>
    <w:rPr>
      <w:b/>
      <w:bCs/>
      <w:sz w:val="24"/>
      <w:szCs w:val="24"/>
    </w:rPr>
  </w:style>
  <w:style w:type="paragraph" w:styleId="9">
    <w:name w:val="heading 8"/>
    <w:basedOn w:val="1"/>
    <w:next w:val="1"/>
    <w:link w:val="38"/>
    <w:autoRedefine/>
    <w:unhideWhenUsed/>
    <w:qFormat/>
    <w:uiPriority w:val="9"/>
    <w:pPr>
      <w:keepNext/>
      <w:keepLines/>
      <w:spacing w:before="240" w:after="64" w:line="320" w:lineRule="atLeast"/>
      <w:outlineLvl w:val="7"/>
    </w:pPr>
    <w:rPr>
      <w:rFonts w:asciiTheme="majorHAnsi" w:hAnsiTheme="majorHAnsi" w:eastAsiaTheme="majorEastAsia" w:cstheme="majorBidi"/>
      <w:sz w:val="24"/>
      <w:szCs w:val="24"/>
    </w:rPr>
  </w:style>
  <w:style w:type="paragraph" w:styleId="10">
    <w:name w:val="heading 9"/>
    <w:basedOn w:val="1"/>
    <w:next w:val="1"/>
    <w:link w:val="39"/>
    <w:autoRedefine/>
    <w:unhideWhenUsed/>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link w:val="87"/>
    <w:autoRedefine/>
    <w:unhideWhenUsed/>
    <w:qFormat/>
    <w:uiPriority w:val="0"/>
    <w:pPr>
      <w:adjustRightInd/>
      <w:spacing w:line="240" w:lineRule="auto"/>
      <w:jc w:val="left"/>
    </w:pPr>
    <w:rPr>
      <w:rFonts w:asciiTheme="minorHAnsi" w:hAnsiTheme="minorHAnsi" w:eastAsiaTheme="minorEastAsia" w:cstheme="minorBidi"/>
      <w:szCs w:val="24"/>
    </w:rPr>
  </w:style>
  <w:style w:type="paragraph" w:styleId="12">
    <w:name w:val="Date"/>
    <w:basedOn w:val="1"/>
    <w:next w:val="1"/>
    <w:link w:val="113"/>
    <w:autoRedefine/>
    <w:semiHidden/>
    <w:unhideWhenUsed/>
    <w:qFormat/>
    <w:uiPriority w:val="99"/>
    <w:pPr>
      <w:ind w:left="100" w:leftChars="2500"/>
    </w:pPr>
  </w:style>
  <w:style w:type="paragraph" w:styleId="13">
    <w:name w:val="Balloon Text"/>
    <w:basedOn w:val="1"/>
    <w:link w:val="30"/>
    <w:autoRedefine/>
    <w:semiHidden/>
    <w:unhideWhenUsed/>
    <w:qFormat/>
    <w:uiPriority w:val="99"/>
    <w:pPr>
      <w:spacing w:line="240" w:lineRule="auto"/>
    </w:pPr>
    <w:rPr>
      <w:sz w:val="18"/>
      <w:szCs w:val="18"/>
    </w:rPr>
  </w:style>
  <w:style w:type="paragraph" w:styleId="14">
    <w:name w:val="footer"/>
    <w:basedOn w:val="1"/>
    <w:link w:val="29"/>
    <w:autoRedefine/>
    <w:unhideWhenUsed/>
    <w:qFormat/>
    <w:uiPriority w:val="99"/>
    <w:pPr>
      <w:tabs>
        <w:tab w:val="center" w:pos="4153"/>
        <w:tab w:val="right" w:pos="8306"/>
      </w:tabs>
      <w:snapToGrid w:val="0"/>
      <w:jc w:val="left"/>
    </w:pPr>
    <w:rPr>
      <w:sz w:val="18"/>
      <w:szCs w:val="18"/>
    </w:rPr>
  </w:style>
  <w:style w:type="paragraph" w:styleId="15">
    <w:name w:val="header"/>
    <w:basedOn w:val="1"/>
    <w:link w:val="28"/>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6">
    <w:name w:val="toc 1"/>
    <w:basedOn w:val="1"/>
    <w:next w:val="1"/>
    <w:autoRedefine/>
    <w:unhideWhenUsed/>
    <w:qFormat/>
    <w:uiPriority w:val="39"/>
    <w:pPr>
      <w:tabs>
        <w:tab w:val="left" w:pos="567"/>
        <w:tab w:val="left" w:pos="840"/>
        <w:tab w:val="right" w:leader="dot" w:pos="9060"/>
      </w:tabs>
      <w:jc w:val="left"/>
    </w:pPr>
    <w:rPr>
      <w:rFonts w:ascii="Times New Roman" w:hAnsi="Times New Roman"/>
    </w:rPr>
  </w:style>
  <w:style w:type="paragraph" w:styleId="17">
    <w:name w:val="Subtitle"/>
    <w:basedOn w:val="1"/>
    <w:next w:val="1"/>
    <w:link w:val="45"/>
    <w:autoRedefine/>
    <w:qFormat/>
    <w:uiPriority w:val="11"/>
    <w:pPr>
      <w:spacing w:before="240" w:after="60" w:line="312" w:lineRule="atLeast"/>
      <w:jc w:val="center"/>
      <w:outlineLvl w:val="1"/>
    </w:pPr>
    <w:rPr>
      <w:rFonts w:asciiTheme="minorHAnsi" w:hAnsiTheme="minorHAnsi" w:eastAsiaTheme="minorEastAsia" w:cstheme="minorBidi"/>
      <w:b/>
      <w:bCs/>
      <w:kern w:val="28"/>
      <w:sz w:val="32"/>
      <w:szCs w:val="32"/>
    </w:rPr>
  </w:style>
  <w:style w:type="paragraph" w:styleId="18">
    <w:name w:val="table of figures"/>
    <w:basedOn w:val="1"/>
    <w:next w:val="1"/>
    <w:link w:val="72"/>
    <w:autoRedefine/>
    <w:semiHidden/>
    <w:unhideWhenUsed/>
    <w:qFormat/>
    <w:uiPriority w:val="99"/>
    <w:pPr>
      <w:ind w:left="200" w:leftChars="200" w:hanging="200" w:hangingChars="200"/>
    </w:pPr>
  </w:style>
  <w:style w:type="paragraph" w:styleId="19">
    <w:name w:val="toc 2"/>
    <w:basedOn w:val="1"/>
    <w:next w:val="1"/>
    <w:autoRedefine/>
    <w:unhideWhenUsed/>
    <w:qFormat/>
    <w:uiPriority w:val="39"/>
    <w:pPr>
      <w:ind w:left="420" w:leftChars="200"/>
    </w:pPr>
  </w:style>
  <w:style w:type="paragraph" w:styleId="20">
    <w:name w:val="Normal (Web)"/>
    <w:basedOn w:val="1"/>
    <w:autoRedefine/>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1">
    <w:name w:val="Title"/>
    <w:basedOn w:val="1"/>
    <w:next w:val="1"/>
    <w:link w:val="4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23">
    <w:name w:val="Table Grid"/>
    <w:basedOn w:val="22"/>
    <w:autoRedefine/>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autoRedefine/>
    <w:qFormat/>
    <w:uiPriority w:val="0"/>
    <w:rPr>
      <w:rFonts w:ascii="宋体" w:hAnsi="Times New Roman" w:eastAsia="宋体" w:cs="宋体"/>
      <w:sz w:val="18"/>
      <w:szCs w:val="18"/>
    </w:rPr>
  </w:style>
  <w:style w:type="character" w:styleId="26">
    <w:name w:val="Hyperlink"/>
    <w:basedOn w:val="24"/>
    <w:autoRedefine/>
    <w:unhideWhenUsed/>
    <w:qFormat/>
    <w:uiPriority w:val="99"/>
    <w:rPr>
      <w:color w:val="0563C1" w:themeColor="hyperlink"/>
      <w:u w:val="single"/>
      <w14:textFill>
        <w14:solidFill>
          <w14:schemeClr w14:val="hlink"/>
        </w14:solidFill>
      </w14:textFill>
    </w:rPr>
  </w:style>
  <w:style w:type="character" w:styleId="27">
    <w:name w:val="annotation reference"/>
    <w:autoRedefine/>
    <w:unhideWhenUsed/>
    <w:qFormat/>
    <w:uiPriority w:val="0"/>
    <w:rPr>
      <w:sz w:val="21"/>
      <w:szCs w:val="21"/>
    </w:rPr>
  </w:style>
  <w:style w:type="character" w:customStyle="1" w:styleId="28">
    <w:name w:val="页眉 字符"/>
    <w:basedOn w:val="24"/>
    <w:link w:val="15"/>
    <w:autoRedefine/>
    <w:qFormat/>
    <w:uiPriority w:val="99"/>
    <w:rPr>
      <w:rFonts w:ascii="Calibri" w:hAnsi="Calibri" w:eastAsia="宋体" w:cs="Calibri"/>
      <w:sz w:val="18"/>
      <w:szCs w:val="18"/>
    </w:rPr>
  </w:style>
  <w:style w:type="character" w:customStyle="1" w:styleId="29">
    <w:name w:val="页脚 字符"/>
    <w:basedOn w:val="24"/>
    <w:link w:val="14"/>
    <w:autoRedefine/>
    <w:qFormat/>
    <w:uiPriority w:val="99"/>
    <w:rPr>
      <w:sz w:val="18"/>
      <w:szCs w:val="18"/>
    </w:rPr>
  </w:style>
  <w:style w:type="character" w:customStyle="1" w:styleId="30">
    <w:name w:val="批注框文本 字符"/>
    <w:basedOn w:val="24"/>
    <w:link w:val="13"/>
    <w:autoRedefine/>
    <w:semiHidden/>
    <w:qFormat/>
    <w:uiPriority w:val="99"/>
    <w:rPr>
      <w:rFonts w:ascii="Calibri" w:hAnsi="Calibri" w:eastAsia="宋体" w:cs="Calibri"/>
      <w:sz w:val="18"/>
      <w:szCs w:val="18"/>
    </w:rPr>
  </w:style>
  <w:style w:type="character" w:customStyle="1" w:styleId="31">
    <w:name w:val="标题 1 字符"/>
    <w:basedOn w:val="24"/>
    <w:link w:val="2"/>
    <w:autoRedefine/>
    <w:qFormat/>
    <w:uiPriority w:val="9"/>
    <w:rPr>
      <w:rFonts w:ascii="Calibri" w:hAnsi="Calibri" w:eastAsia="宋体" w:cs="Calibri"/>
      <w:b/>
      <w:bCs/>
      <w:kern w:val="44"/>
      <w:sz w:val="44"/>
      <w:szCs w:val="44"/>
    </w:rPr>
  </w:style>
  <w:style w:type="character" w:customStyle="1" w:styleId="32">
    <w:name w:val="标题 2 字符"/>
    <w:basedOn w:val="24"/>
    <w:link w:val="3"/>
    <w:autoRedefine/>
    <w:qFormat/>
    <w:uiPriority w:val="9"/>
    <w:rPr>
      <w:rFonts w:asciiTheme="majorHAnsi" w:hAnsiTheme="majorHAnsi" w:eastAsiaTheme="majorEastAsia" w:cstheme="majorBidi"/>
      <w:b/>
      <w:bCs/>
      <w:sz w:val="32"/>
      <w:szCs w:val="32"/>
    </w:rPr>
  </w:style>
  <w:style w:type="character" w:customStyle="1" w:styleId="33">
    <w:name w:val="标题 3 字符"/>
    <w:basedOn w:val="24"/>
    <w:link w:val="4"/>
    <w:autoRedefine/>
    <w:qFormat/>
    <w:uiPriority w:val="9"/>
    <w:rPr>
      <w:rFonts w:ascii="Calibri" w:hAnsi="Calibri" w:eastAsia="宋体" w:cs="Calibri"/>
      <w:b/>
      <w:bCs/>
      <w:sz w:val="32"/>
      <w:szCs w:val="32"/>
    </w:rPr>
  </w:style>
  <w:style w:type="character" w:customStyle="1" w:styleId="34">
    <w:name w:val="标题 4 字符"/>
    <w:basedOn w:val="24"/>
    <w:link w:val="5"/>
    <w:autoRedefine/>
    <w:qFormat/>
    <w:uiPriority w:val="9"/>
    <w:rPr>
      <w:rFonts w:asciiTheme="majorHAnsi" w:hAnsiTheme="majorHAnsi" w:eastAsiaTheme="majorEastAsia" w:cstheme="majorBidi"/>
      <w:b/>
      <w:bCs/>
      <w:sz w:val="28"/>
      <w:szCs w:val="28"/>
    </w:rPr>
  </w:style>
  <w:style w:type="character" w:customStyle="1" w:styleId="35">
    <w:name w:val="标题 5 字符"/>
    <w:basedOn w:val="24"/>
    <w:link w:val="6"/>
    <w:autoRedefine/>
    <w:qFormat/>
    <w:uiPriority w:val="9"/>
    <w:rPr>
      <w:rFonts w:ascii="Calibri" w:hAnsi="Calibri" w:eastAsia="宋体" w:cs="Calibri"/>
      <w:b/>
      <w:bCs/>
      <w:sz w:val="28"/>
      <w:szCs w:val="28"/>
    </w:rPr>
  </w:style>
  <w:style w:type="character" w:customStyle="1" w:styleId="36">
    <w:name w:val="标题 6 字符"/>
    <w:basedOn w:val="24"/>
    <w:link w:val="7"/>
    <w:autoRedefine/>
    <w:qFormat/>
    <w:uiPriority w:val="9"/>
    <w:rPr>
      <w:rFonts w:asciiTheme="majorHAnsi" w:hAnsiTheme="majorHAnsi" w:eastAsiaTheme="majorEastAsia" w:cstheme="majorBidi"/>
      <w:b/>
      <w:bCs/>
      <w:sz w:val="24"/>
      <w:szCs w:val="24"/>
    </w:rPr>
  </w:style>
  <w:style w:type="character" w:customStyle="1" w:styleId="37">
    <w:name w:val="标题 7 字符"/>
    <w:basedOn w:val="24"/>
    <w:link w:val="8"/>
    <w:autoRedefine/>
    <w:qFormat/>
    <w:uiPriority w:val="9"/>
    <w:rPr>
      <w:rFonts w:ascii="Calibri" w:hAnsi="Calibri" w:eastAsia="宋体" w:cs="Calibri"/>
      <w:b/>
      <w:bCs/>
      <w:sz w:val="24"/>
      <w:szCs w:val="24"/>
    </w:rPr>
  </w:style>
  <w:style w:type="character" w:customStyle="1" w:styleId="38">
    <w:name w:val="标题 8 字符"/>
    <w:basedOn w:val="24"/>
    <w:link w:val="9"/>
    <w:autoRedefine/>
    <w:qFormat/>
    <w:uiPriority w:val="9"/>
    <w:rPr>
      <w:rFonts w:asciiTheme="majorHAnsi" w:hAnsiTheme="majorHAnsi" w:eastAsiaTheme="majorEastAsia" w:cstheme="majorBidi"/>
      <w:sz w:val="24"/>
      <w:szCs w:val="24"/>
    </w:rPr>
  </w:style>
  <w:style w:type="character" w:customStyle="1" w:styleId="39">
    <w:name w:val="标题 9 字符"/>
    <w:basedOn w:val="24"/>
    <w:link w:val="10"/>
    <w:autoRedefine/>
    <w:qFormat/>
    <w:uiPriority w:val="9"/>
    <w:rPr>
      <w:rFonts w:asciiTheme="majorHAnsi" w:hAnsiTheme="majorHAnsi" w:eastAsiaTheme="majorEastAsia" w:cstheme="majorBidi"/>
      <w:szCs w:val="21"/>
    </w:rPr>
  </w:style>
  <w:style w:type="character" w:customStyle="1" w:styleId="40">
    <w:name w:val="标题 字符"/>
    <w:basedOn w:val="24"/>
    <w:link w:val="21"/>
    <w:autoRedefine/>
    <w:qFormat/>
    <w:uiPriority w:val="10"/>
    <w:rPr>
      <w:rFonts w:asciiTheme="majorHAnsi" w:hAnsiTheme="majorHAnsi" w:eastAsiaTheme="majorEastAsia" w:cstheme="majorBidi"/>
      <w:b/>
      <w:bCs/>
      <w:sz w:val="32"/>
      <w:szCs w:val="32"/>
    </w:rPr>
  </w:style>
  <w:style w:type="paragraph" w:customStyle="1" w:styleId="41">
    <w:name w:val="章标题"/>
    <w:basedOn w:val="42"/>
    <w:next w:val="44"/>
    <w:link w:val="59"/>
    <w:autoRedefine/>
    <w:qFormat/>
    <w:uiPriority w:val="0"/>
    <w:pPr>
      <w:spacing w:before="312" w:beforeLines="100" w:after="312" w:afterLines="100"/>
    </w:pPr>
    <w:rPr>
      <w:rFonts w:ascii="Times New Roman"/>
    </w:rPr>
  </w:style>
  <w:style w:type="paragraph" w:customStyle="1" w:styleId="42">
    <w:name w:val="1章标题"/>
    <w:next w:val="43"/>
    <w:link w:val="58"/>
    <w:autoRedefine/>
    <w:qFormat/>
    <w:uiPriority w:val="99"/>
    <w:pPr>
      <w:numPr>
        <w:ilvl w:val="1"/>
        <w:numId w:val="1"/>
      </w:numPr>
      <w:spacing w:beforeLines="50" w:afterLines="50"/>
      <w:jc w:val="both"/>
      <w:outlineLvl w:val="0"/>
    </w:pPr>
    <w:rPr>
      <w:rFonts w:ascii="黑体" w:hAnsi="Times New Roman" w:eastAsia="黑体" w:cs="黑体"/>
      <w:sz w:val="21"/>
      <w:szCs w:val="21"/>
      <w:lang w:val="en-US" w:eastAsia="zh-CN" w:bidi="ar-SA"/>
    </w:rPr>
  </w:style>
  <w:style w:type="paragraph" w:customStyle="1" w:styleId="43">
    <w:name w:val="标准文件_段"/>
    <w:autoRedefine/>
    <w:qFormat/>
    <w:uiPriority w:val="99"/>
    <w:pPr>
      <w:widowControl w:val="0"/>
      <w:ind w:firstLine="198" w:firstLineChars="200"/>
      <w:jc w:val="both"/>
    </w:pPr>
    <w:rPr>
      <w:rFonts w:ascii="宋体" w:hAnsi="宋体" w:eastAsia="宋体" w:cs="宋体"/>
      <w:kern w:val="2"/>
      <w:sz w:val="21"/>
      <w:szCs w:val="21"/>
      <w:lang w:val="en-US" w:eastAsia="zh-CN" w:bidi="ar-SA"/>
    </w:rPr>
  </w:style>
  <w:style w:type="paragraph" w:customStyle="1" w:styleId="44">
    <w:name w:val="段"/>
    <w:basedOn w:val="1"/>
    <w:link w:val="49"/>
    <w:autoRedefine/>
    <w:qFormat/>
    <w:uiPriority w:val="0"/>
    <w:pPr>
      <w:snapToGrid w:val="0"/>
      <w:spacing w:before="50" w:beforeLines="50" w:after="50" w:afterLines="50" w:line="240" w:lineRule="auto"/>
      <w:ind w:firstLine="200" w:firstLineChars="200"/>
    </w:pPr>
    <w:rPr>
      <w:rFonts w:ascii="Times New Roman" w:hAnsi="Times New Roman"/>
    </w:rPr>
  </w:style>
  <w:style w:type="character" w:customStyle="1" w:styleId="45">
    <w:name w:val="副标题 字符"/>
    <w:basedOn w:val="24"/>
    <w:link w:val="17"/>
    <w:autoRedefine/>
    <w:qFormat/>
    <w:uiPriority w:val="11"/>
    <w:rPr>
      <w:b/>
      <w:bCs/>
      <w:kern w:val="28"/>
      <w:sz w:val="32"/>
      <w:szCs w:val="32"/>
    </w:rPr>
  </w:style>
  <w:style w:type="character" w:customStyle="1" w:styleId="46">
    <w:name w:val="不明显强调1"/>
    <w:basedOn w:val="24"/>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47">
    <w:name w:val="目次、前言、引言"/>
    <w:basedOn w:val="21"/>
    <w:next w:val="44"/>
    <w:link w:val="48"/>
    <w:qFormat/>
    <w:uiPriority w:val="0"/>
    <w:pPr>
      <w:spacing w:before="851" w:after="680" w:line="240" w:lineRule="auto"/>
    </w:pPr>
    <w:rPr>
      <w:rFonts w:eastAsia="黑体"/>
      <w:b w:val="0"/>
    </w:rPr>
  </w:style>
  <w:style w:type="character" w:customStyle="1" w:styleId="48">
    <w:name w:val="目次、前言、引言 字符"/>
    <w:basedOn w:val="40"/>
    <w:link w:val="47"/>
    <w:qFormat/>
    <w:uiPriority w:val="0"/>
    <w:rPr>
      <w:rFonts w:eastAsia="黑体" w:asciiTheme="majorHAnsi" w:hAnsiTheme="majorHAnsi" w:cstheme="majorBidi"/>
      <w:b w:val="0"/>
      <w:sz w:val="32"/>
      <w:szCs w:val="32"/>
    </w:rPr>
  </w:style>
  <w:style w:type="character" w:customStyle="1" w:styleId="49">
    <w:name w:val="段 字符"/>
    <w:basedOn w:val="24"/>
    <w:link w:val="44"/>
    <w:autoRedefine/>
    <w:qFormat/>
    <w:uiPriority w:val="0"/>
    <w:rPr>
      <w:rFonts w:ascii="Times New Roman" w:hAnsi="Times New Roman" w:eastAsia="宋体" w:cs="Calibri"/>
      <w:szCs w:val="21"/>
    </w:rPr>
  </w:style>
  <w:style w:type="paragraph" w:customStyle="1" w:styleId="50">
    <w:name w:val="标准文件_二级条标题"/>
    <w:next w:val="43"/>
    <w:link w:val="68"/>
    <w:autoRedefine/>
    <w:qFormat/>
    <w:uiPriority w:val="99"/>
    <w:pPr>
      <w:widowControl w:val="0"/>
      <w:numPr>
        <w:ilvl w:val="3"/>
        <w:numId w:val="1"/>
      </w:numPr>
      <w:jc w:val="both"/>
      <w:outlineLvl w:val="2"/>
    </w:pPr>
    <w:rPr>
      <w:rFonts w:ascii="黑体" w:hAnsi="Times New Roman" w:eastAsia="黑体" w:cs="黑体"/>
      <w:sz w:val="21"/>
      <w:szCs w:val="21"/>
      <w:lang w:val="en-US" w:eastAsia="zh-CN" w:bidi="ar-SA"/>
    </w:rPr>
  </w:style>
  <w:style w:type="paragraph" w:customStyle="1" w:styleId="51">
    <w:name w:val="标准文件_三级条标题"/>
    <w:basedOn w:val="50"/>
    <w:next w:val="43"/>
    <w:link w:val="80"/>
    <w:autoRedefine/>
    <w:qFormat/>
    <w:uiPriority w:val="99"/>
    <w:pPr>
      <w:widowControl/>
      <w:numPr>
        <w:ilvl w:val="4"/>
      </w:numPr>
      <w:outlineLvl w:val="3"/>
    </w:pPr>
  </w:style>
  <w:style w:type="paragraph" w:customStyle="1" w:styleId="52">
    <w:name w:val="标准文件_四级条标题"/>
    <w:next w:val="43"/>
    <w:autoRedefine/>
    <w:qFormat/>
    <w:uiPriority w:val="99"/>
    <w:pPr>
      <w:widowControl w:val="0"/>
      <w:numPr>
        <w:ilvl w:val="5"/>
        <w:numId w:val="1"/>
      </w:numPr>
      <w:jc w:val="both"/>
      <w:outlineLvl w:val="4"/>
    </w:pPr>
    <w:rPr>
      <w:rFonts w:ascii="黑体" w:hAnsi="Times New Roman" w:eastAsia="黑体" w:cs="黑体"/>
      <w:sz w:val="21"/>
      <w:szCs w:val="21"/>
      <w:lang w:val="en-US" w:eastAsia="zh-CN" w:bidi="ar-SA"/>
    </w:rPr>
  </w:style>
  <w:style w:type="paragraph" w:customStyle="1" w:styleId="53">
    <w:name w:val="标准文件_五级条标题"/>
    <w:next w:val="43"/>
    <w:autoRedefine/>
    <w:qFormat/>
    <w:uiPriority w:val="99"/>
    <w:pPr>
      <w:widowControl w:val="0"/>
      <w:numPr>
        <w:ilvl w:val="6"/>
        <w:numId w:val="1"/>
      </w:numPr>
      <w:jc w:val="both"/>
      <w:outlineLvl w:val="5"/>
    </w:pPr>
    <w:rPr>
      <w:rFonts w:ascii="黑体" w:hAnsi="Times New Roman" w:eastAsia="黑体" w:cs="黑体"/>
      <w:sz w:val="21"/>
      <w:szCs w:val="21"/>
      <w:lang w:val="en-US" w:eastAsia="zh-CN" w:bidi="ar-SA"/>
    </w:rPr>
  </w:style>
  <w:style w:type="paragraph" w:customStyle="1" w:styleId="54">
    <w:name w:val="标准文件_一级条标题"/>
    <w:basedOn w:val="42"/>
    <w:next w:val="43"/>
    <w:link w:val="60"/>
    <w:autoRedefine/>
    <w:qFormat/>
    <w:uiPriority w:val="99"/>
    <w:pPr>
      <w:numPr>
        <w:ilvl w:val="2"/>
      </w:numPr>
      <w:spacing w:beforeLines="0" w:afterLines="0"/>
      <w:outlineLvl w:val="1"/>
    </w:pPr>
  </w:style>
  <w:style w:type="paragraph" w:customStyle="1" w:styleId="55">
    <w:name w:val="前言标题"/>
    <w:next w:val="1"/>
    <w:autoRedefine/>
    <w:qFormat/>
    <w:uiPriority w:val="99"/>
    <w:pPr>
      <w:numPr>
        <w:ilvl w:val="0"/>
        <w:numId w:val="1"/>
      </w:numPr>
      <w:shd w:val="clear" w:color="FFFFFF" w:fill="FFFFFF"/>
      <w:spacing w:before="540"/>
      <w:jc w:val="center"/>
      <w:outlineLvl w:val="0"/>
    </w:pPr>
    <w:rPr>
      <w:rFonts w:ascii="黑体" w:hAnsi="Times New Roman" w:eastAsia="黑体" w:cs="黑体"/>
      <w:sz w:val="32"/>
      <w:szCs w:val="32"/>
      <w:lang w:val="en-US" w:eastAsia="zh-CN" w:bidi="ar-SA"/>
    </w:rPr>
  </w:style>
  <w:style w:type="paragraph" w:styleId="56">
    <w:name w:val="List Paragraph"/>
    <w:basedOn w:val="1"/>
    <w:link w:val="74"/>
    <w:autoRedefine/>
    <w:qFormat/>
    <w:uiPriority w:val="99"/>
    <w:pPr>
      <w:adjustRightInd/>
      <w:spacing w:line="240" w:lineRule="auto"/>
      <w:ind w:firstLine="420" w:firstLineChars="200"/>
    </w:pPr>
  </w:style>
  <w:style w:type="paragraph" w:customStyle="1" w:styleId="57">
    <w:name w:val="一级条标题"/>
    <w:basedOn w:val="54"/>
    <w:next w:val="44"/>
    <w:link w:val="61"/>
    <w:autoRedefine/>
    <w:qFormat/>
    <w:uiPriority w:val="0"/>
    <w:pPr>
      <w:spacing w:before="156" w:beforeLines="50" w:after="156" w:afterLines="50"/>
    </w:pPr>
    <w:rPr>
      <w:rFonts w:ascii="Times New Roman"/>
    </w:rPr>
  </w:style>
  <w:style w:type="character" w:customStyle="1" w:styleId="58">
    <w:name w:val="1章标题 字符"/>
    <w:basedOn w:val="24"/>
    <w:link w:val="42"/>
    <w:autoRedefine/>
    <w:qFormat/>
    <w:uiPriority w:val="99"/>
    <w:rPr>
      <w:rFonts w:ascii="黑体" w:hAnsi="Times New Roman" w:eastAsia="黑体" w:cs="黑体"/>
      <w:kern w:val="0"/>
      <w:szCs w:val="21"/>
    </w:rPr>
  </w:style>
  <w:style w:type="character" w:customStyle="1" w:styleId="59">
    <w:name w:val="章标题 字符"/>
    <w:basedOn w:val="58"/>
    <w:link w:val="41"/>
    <w:autoRedefine/>
    <w:qFormat/>
    <w:uiPriority w:val="0"/>
    <w:rPr>
      <w:rFonts w:ascii="Times New Roman" w:hAnsi="Times New Roman" w:eastAsia="黑体" w:cs="黑体"/>
      <w:kern w:val="0"/>
      <w:szCs w:val="21"/>
    </w:rPr>
  </w:style>
  <w:style w:type="character" w:customStyle="1" w:styleId="60">
    <w:name w:val="标准文件_一级条标题 字符"/>
    <w:basedOn w:val="58"/>
    <w:link w:val="54"/>
    <w:autoRedefine/>
    <w:qFormat/>
    <w:uiPriority w:val="99"/>
    <w:rPr>
      <w:rFonts w:ascii="黑体" w:hAnsi="Times New Roman" w:eastAsia="黑体" w:cs="黑体"/>
      <w:kern w:val="0"/>
      <w:szCs w:val="21"/>
    </w:rPr>
  </w:style>
  <w:style w:type="character" w:customStyle="1" w:styleId="61">
    <w:name w:val="一级条标题 字符"/>
    <w:basedOn w:val="60"/>
    <w:link w:val="57"/>
    <w:autoRedefine/>
    <w:qFormat/>
    <w:uiPriority w:val="0"/>
    <w:rPr>
      <w:rFonts w:ascii="Times New Roman" w:hAnsi="Times New Roman" w:eastAsia="黑体" w:cs="黑体"/>
      <w:kern w:val="0"/>
      <w:szCs w:val="21"/>
    </w:rPr>
  </w:style>
  <w:style w:type="paragraph" w:customStyle="1" w:styleId="62">
    <w:name w:val="术语"/>
    <w:basedOn w:val="44"/>
    <w:next w:val="44"/>
    <w:link w:val="64"/>
    <w:autoRedefine/>
    <w:qFormat/>
    <w:uiPriority w:val="0"/>
    <w:rPr>
      <w:rFonts w:eastAsia="黑体"/>
    </w:rPr>
  </w:style>
  <w:style w:type="character" w:customStyle="1" w:styleId="63">
    <w:name w:val="段 Char"/>
    <w:autoRedefine/>
    <w:qFormat/>
    <w:uiPriority w:val="0"/>
    <w:rPr>
      <w:rFonts w:ascii="宋体"/>
      <w:sz w:val="21"/>
      <w:lang w:val="en-US" w:eastAsia="zh-CN" w:bidi="ar-SA"/>
    </w:rPr>
  </w:style>
  <w:style w:type="character" w:customStyle="1" w:styleId="64">
    <w:name w:val="术语 字符"/>
    <w:basedOn w:val="49"/>
    <w:link w:val="62"/>
    <w:autoRedefine/>
    <w:qFormat/>
    <w:uiPriority w:val="0"/>
    <w:rPr>
      <w:rFonts w:ascii="Times New Roman" w:hAnsi="Times New Roman" w:eastAsia="黑体" w:cs="Calibri"/>
      <w:szCs w:val="21"/>
    </w:rPr>
  </w:style>
  <w:style w:type="paragraph" w:customStyle="1" w:styleId="65">
    <w:name w:val="注"/>
    <w:basedOn w:val="44"/>
    <w:next w:val="44"/>
    <w:link w:val="67"/>
    <w:autoRedefine/>
    <w:qFormat/>
    <w:uiPriority w:val="0"/>
    <w:pPr>
      <w:widowControl/>
      <w:tabs>
        <w:tab w:val="center" w:pos="4201"/>
        <w:tab w:val="right" w:leader="dot" w:pos="9298"/>
      </w:tabs>
      <w:autoSpaceDE w:val="0"/>
      <w:autoSpaceDN w:val="0"/>
      <w:adjustRightInd/>
      <w:ind w:firstLine="360"/>
    </w:pPr>
    <w:rPr>
      <w:rFonts w:eastAsia="黑体" w:cs="Times New Roman"/>
      <w:kern w:val="0"/>
      <w:sz w:val="18"/>
      <w:szCs w:val="18"/>
    </w:rPr>
  </w:style>
  <w:style w:type="paragraph" w:customStyle="1" w:styleId="66">
    <w:name w:val="二级条标题"/>
    <w:basedOn w:val="50"/>
    <w:next w:val="44"/>
    <w:link w:val="69"/>
    <w:autoRedefine/>
    <w:qFormat/>
    <w:uiPriority w:val="0"/>
    <w:pPr>
      <w:spacing w:before="50" w:beforeLines="50" w:after="50" w:afterLines="50"/>
    </w:pPr>
    <w:rPr>
      <w:rFonts w:ascii="Times New Roman"/>
    </w:rPr>
  </w:style>
  <w:style w:type="character" w:customStyle="1" w:styleId="67">
    <w:name w:val="注 字符"/>
    <w:basedOn w:val="49"/>
    <w:link w:val="65"/>
    <w:autoRedefine/>
    <w:qFormat/>
    <w:uiPriority w:val="0"/>
    <w:rPr>
      <w:rFonts w:ascii="Times New Roman" w:hAnsi="Times New Roman" w:eastAsia="黑体" w:cs="Times New Roman"/>
      <w:kern w:val="0"/>
      <w:sz w:val="18"/>
      <w:szCs w:val="18"/>
    </w:rPr>
  </w:style>
  <w:style w:type="character" w:customStyle="1" w:styleId="68">
    <w:name w:val="标准文件_二级条标题 字符"/>
    <w:basedOn w:val="24"/>
    <w:link w:val="50"/>
    <w:autoRedefine/>
    <w:qFormat/>
    <w:uiPriority w:val="99"/>
    <w:rPr>
      <w:rFonts w:ascii="黑体" w:hAnsi="Times New Roman" w:eastAsia="黑体" w:cs="黑体"/>
      <w:kern w:val="0"/>
      <w:szCs w:val="21"/>
    </w:rPr>
  </w:style>
  <w:style w:type="character" w:customStyle="1" w:styleId="69">
    <w:name w:val="二级条标题 字符"/>
    <w:basedOn w:val="68"/>
    <w:link w:val="66"/>
    <w:autoRedefine/>
    <w:qFormat/>
    <w:uiPriority w:val="0"/>
    <w:rPr>
      <w:rFonts w:ascii="Times New Roman" w:hAnsi="Times New Roman" w:eastAsia="黑体" w:cs="黑体"/>
      <w:kern w:val="0"/>
      <w:szCs w:val="21"/>
    </w:rPr>
  </w:style>
  <w:style w:type="paragraph" w:customStyle="1" w:styleId="70">
    <w:name w:val="正文图题"/>
    <w:basedOn w:val="18"/>
    <w:next w:val="44"/>
    <w:link w:val="73"/>
    <w:autoRedefine/>
    <w:qFormat/>
    <w:uiPriority w:val="0"/>
    <w:pPr>
      <w:numPr>
        <w:ilvl w:val="0"/>
        <w:numId w:val="2"/>
      </w:numPr>
      <w:spacing w:before="50" w:beforeLines="50" w:after="50" w:afterLines="50" w:line="240" w:lineRule="auto"/>
      <w:ind w:left="0" w:leftChars="0" w:firstLine="0" w:firstLineChars="0"/>
      <w:jc w:val="center"/>
    </w:pPr>
    <w:rPr>
      <w:rFonts w:ascii="Times New Roman" w:hAnsi="Times New Roman" w:eastAsia="黑体"/>
    </w:rPr>
  </w:style>
  <w:style w:type="paragraph" w:customStyle="1" w:styleId="71">
    <w:name w:val="字母列项"/>
    <w:basedOn w:val="56"/>
    <w:next w:val="44"/>
    <w:link w:val="75"/>
    <w:autoRedefine/>
    <w:qFormat/>
    <w:uiPriority w:val="0"/>
    <w:pPr>
      <w:numPr>
        <w:ilvl w:val="0"/>
        <w:numId w:val="3"/>
      </w:numPr>
      <w:ind w:left="777" w:hanging="357" w:firstLineChars="0"/>
      <w:jc w:val="left"/>
    </w:pPr>
    <w:rPr>
      <w:rFonts w:ascii="Times New Roman" w:hAnsi="Times New Roman" w:cs="宋体"/>
      <w:kern w:val="0"/>
    </w:rPr>
  </w:style>
  <w:style w:type="character" w:customStyle="1" w:styleId="72">
    <w:name w:val="图表目录 字符"/>
    <w:basedOn w:val="24"/>
    <w:link w:val="18"/>
    <w:autoRedefine/>
    <w:semiHidden/>
    <w:qFormat/>
    <w:uiPriority w:val="99"/>
    <w:rPr>
      <w:rFonts w:ascii="Calibri" w:hAnsi="Calibri" w:eastAsia="宋体" w:cs="Calibri"/>
      <w:szCs w:val="21"/>
    </w:rPr>
  </w:style>
  <w:style w:type="character" w:customStyle="1" w:styleId="73">
    <w:name w:val="正文图题 字符"/>
    <w:basedOn w:val="72"/>
    <w:link w:val="70"/>
    <w:autoRedefine/>
    <w:qFormat/>
    <w:uiPriority w:val="0"/>
    <w:rPr>
      <w:rFonts w:ascii="Times New Roman" w:hAnsi="Times New Roman" w:eastAsia="黑体" w:cs="Calibri"/>
      <w:szCs w:val="21"/>
    </w:rPr>
  </w:style>
  <w:style w:type="character" w:customStyle="1" w:styleId="74">
    <w:name w:val="列表段落 字符"/>
    <w:basedOn w:val="24"/>
    <w:link w:val="56"/>
    <w:autoRedefine/>
    <w:qFormat/>
    <w:uiPriority w:val="99"/>
    <w:rPr>
      <w:rFonts w:ascii="Calibri" w:hAnsi="Calibri" w:eastAsia="宋体" w:cs="Calibri"/>
      <w:szCs w:val="21"/>
    </w:rPr>
  </w:style>
  <w:style w:type="character" w:customStyle="1" w:styleId="75">
    <w:name w:val="字母列项 字符"/>
    <w:basedOn w:val="74"/>
    <w:link w:val="71"/>
    <w:autoRedefine/>
    <w:qFormat/>
    <w:uiPriority w:val="0"/>
    <w:rPr>
      <w:rFonts w:ascii="Times New Roman" w:hAnsi="Times New Roman" w:eastAsia="宋体" w:cs="宋体"/>
      <w:kern w:val="0"/>
      <w:szCs w:val="21"/>
    </w:rPr>
  </w:style>
  <w:style w:type="paragraph" w:customStyle="1" w:styleId="76">
    <w:name w:val="正文表标题"/>
    <w:basedOn w:val="70"/>
    <w:next w:val="44"/>
    <w:link w:val="78"/>
    <w:autoRedefine/>
    <w:qFormat/>
    <w:uiPriority w:val="0"/>
    <w:pPr>
      <w:numPr>
        <w:numId w:val="4"/>
      </w:numPr>
      <w:ind w:left="0" w:firstLine="0"/>
    </w:pPr>
  </w:style>
  <w:style w:type="paragraph" w:customStyle="1" w:styleId="77">
    <w:name w:val="三级条标题"/>
    <w:basedOn w:val="51"/>
    <w:next w:val="44"/>
    <w:link w:val="81"/>
    <w:autoRedefine/>
    <w:qFormat/>
    <w:uiPriority w:val="0"/>
    <w:pPr>
      <w:spacing w:before="156" w:beforeLines="50" w:after="156" w:afterLines="50"/>
    </w:pPr>
    <w:rPr>
      <w:rFonts w:ascii="Times New Roman"/>
    </w:rPr>
  </w:style>
  <w:style w:type="character" w:customStyle="1" w:styleId="78">
    <w:name w:val="正文表标题 字符"/>
    <w:basedOn w:val="73"/>
    <w:link w:val="76"/>
    <w:autoRedefine/>
    <w:qFormat/>
    <w:uiPriority w:val="0"/>
    <w:rPr>
      <w:rFonts w:ascii="Times New Roman" w:hAnsi="Times New Roman" w:eastAsia="黑体" w:cs="Calibri"/>
      <w:szCs w:val="21"/>
    </w:rPr>
  </w:style>
  <w:style w:type="paragraph" w:customStyle="1" w:styleId="79">
    <w:name w:val="列项（——）"/>
    <w:basedOn w:val="1"/>
    <w:link w:val="83"/>
    <w:autoRedefine/>
    <w:qFormat/>
    <w:uiPriority w:val="0"/>
    <w:pPr>
      <w:widowControl/>
      <w:tabs>
        <w:tab w:val="center" w:pos="4201"/>
        <w:tab w:val="right" w:leader="dot" w:pos="9298"/>
      </w:tabs>
      <w:autoSpaceDE w:val="0"/>
      <w:autoSpaceDN w:val="0"/>
      <w:adjustRightInd/>
      <w:spacing w:line="240" w:lineRule="auto"/>
      <w:ind w:left="400" w:leftChars="200" w:hanging="200" w:hangingChars="200"/>
    </w:pPr>
    <w:rPr>
      <w:rFonts w:ascii="Times New Roman" w:hAnsi="Times New Roman" w:cs="黑体"/>
      <w:kern w:val="0"/>
    </w:rPr>
  </w:style>
  <w:style w:type="character" w:customStyle="1" w:styleId="80">
    <w:name w:val="标准文件_三级条标题 字符"/>
    <w:basedOn w:val="68"/>
    <w:link w:val="51"/>
    <w:autoRedefine/>
    <w:qFormat/>
    <w:uiPriority w:val="99"/>
    <w:rPr>
      <w:rFonts w:ascii="黑体" w:hAnsi="Times New Roman" w:eastAsia="黑体" w:cs="黑体"/>
      <w:kern w:val="0"/>
      <w:szCs w:val="21"/>
    </w:rPr>
  </w:style>
  <w:style w:type="character" w:customStyle="1" w:styleId="81">
    <w:name w:val="三级条标题 字符"/>
    <w:basedOn w:val="80"/>
    <w:link w:val="77"/>
    <w:autoRedefine/>
    <w:qFormat/>
    <w:uiPriority w:val="0"/>
    <w:rPr>
      <w:rFonts w:ascii="Times New Roman" w:hAnsi="Times New Roman" w:eastAsia="黑体" w:cs="黑体"/>
      <w:kern w:val="0"/>
      <w:szCs w:val="21"/>
    </w:rPr>
  </w:style>
  <w:style w:type="table" w:customStyle="1" w:styleId="82">
    <w:name w:val="网格型1"/>
    <w:basedOn w:val="22"/>
    <w:autoRedefine/>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3">
    <w:name w:val="列项（——） 字符"/>
    <w:basedOn w:val="24"/>
    <w:link w:val="79"/>
    <w:autoRedefine/>
    <w:qFormat/>
    <w:uiPriority w:val="0"/>
    <w:rPr>
      <w:rFonts w:ascii="Times New Roman" w:hAnsi="Times New Roman" w:eastAsia="宋体" w:cs="黑体"/>
      <w:kern w:val="0"/>
      <w:szCs w:val="21"/>
      <w:lang w:val="en-US" w:eastAsia="zh-CN"/>
    </w:rPr>
  </w:style>
  <w:style w:type="paragraph" w:customStyle="1" w:styleId="84">
    <w:name w:val="正文公式"/>
    <w:basedOn w:val="1"/>
    <w:link w:val="86"/>
    <w:autoRedefine/>
    <w:qFormat/>
    <w:uiPriority w:val="0"/>
    <w:pPr>
      <w:tabs>
        <w:tab w:val="center" w:pos="2520"/>
        <w:tab w:val="right" w:pos="5040"/>
      </w:tabs>
      <w:adjustRightInd/>
      <w:spacing w:line="240" w:lineRule="auto"/>
      <w:jc w:val="center"/>
    </w:pPr>
    <w:rPr>
      <w:rFonts w:ascii="宋体" w:hAnsi="宋体" w:cs="宋体"/>
      <w:szCs w:val="18"/>
    </w:rPr>
  </w:style>
  <w:style w:type="paragraph" w:customStyle="1" w:styleId="85">
    <w:name w:val="正文公式1"/>
    <w:basedOn w:val="44"/>
    <w:next w:val="44"/>
    <w:autoRedefine/>
    <w:qFormat/>
    <w:uiPriority w:val="0"/>
    <w:pPr>
      <w:tabs>
        <w:tab w:val="center" w:pos="4200"/>
        <w:tab w:val="right" w:leader="dot" w:pos="9030"/>
      </w:tabs>
      <w:ind w:firstLine="0" w:firstLineChars="0"/>
      <w:jc w:val="left"/>
    </w:pPr>
  </w:style>
  <w:style w:type="character" w:customStyle="1" w:styleId="86">
    <w:name w:val="正文公式 字符"/>
    <w:basedOn w:val="24"/>
    <w:link w:val="84"/>
    <w:autoRedefine/>
    <w:qFormat/>
    <w:uiPriority w:val="0"/>
    <w:rPr>
      <w:rFonts w:ascii="宋体" w:hAnsi="宋体" w:eastAsia="宋体" w:cs="宋体"/>
      <w:szCs w:val="18"/>
    </w:rPr>
  </w:style>
  <w:style w:type="character" w:customStyle="1" w:styleId="87">
    <w:name w:val="批注文字 字符1"/>
    <w:link w:val="11"/>
    <w:autoRedefine/>
    <w:qFormat/>
    <w:uiPriority w:val="0"/>
    <w:rPr>
      <w:szCs w:val="24"/>
    </w:rPr>
  </w:style>
  <w:style w:type="character" w:customStyle="1" w:styleId="88">
    <w:name w:val="批注文字 字符"/>
    <w:basedOn w:val="24"/>
    <w:autoRedefine/>
    <w:semiHidden/>
    <w:qFormat/>
    <w:uiPriority w:val="99"/>
    <w:rPr>
      <w:rFonts w:ascii="Calibri" w:hAnsi="Calibri" w:eastAsia="宋体" w:cs="Calibri"/>
      <w:szCs w:val="21"/>
    </w:rPr>
  </w:style>
  <w:style w:type="paragraph" w:customStyle="1" w:styleId="89">
    <w:name w:val="附录标识"/>
    <w:basedOn w:val="1"/>
    <w:next w:val="44"/>
    <w:link w:val="92"/>
    <w:autoRedefine/>
    <w:qFormat/>
    <w:uiPriority w:val="0"/>
    <w:pPr>
      <w:keepNext/>
      <w:widowControl/>
      <w:shd w:val="clear" w:color="FFFFFF" w:fill="FFFFFF"/>
      <w:tabs>
        <w:tab w:val="left" w:pos="360"/>
        <w:tab w:val="left" w:pos="6405"/>
      </w:tabs>
      <w:adjustRightInd/>
      <w:spacing w:before="640" w:after="280" w:line="240" w:lineRule="auto"/>
      <w:jc w:val="center"/>
      <w:outlineLvl w:val="0"/>
    </w:pPr>
    <w:rPr>
      <w:rFonts w:ascii="黑体" w:hAnsi="Times New Roman" w:eastAsia="黑体" w:cs="Times New Roman"/>
      <w:kern w:val="0"/>
      <w:szCs w:val="20"/>
    </w:rPr>
  </w:style>
  <w:style w:type="paragraph" w:customStyle="1" w:styleId="90">
    <w:name w:val="附录标题"/>
    <w:basedOn w:val="89"/>
    <w:next w:val="44"/>
    <w:link w:val="93"/>
    <w:autoRedefine/>
    <w:qFormat/>
    <w:uiPriority w:val="0"/>
    <w:pPr>
      <w:numPr>
        <w:ilvl w:val="0"/>
        <w:numId w:val="5"/>
      </w:numPr>
      <w:spacing w:after="360" w:line="360" w:lineRule="exact"/>
    </w:pPr>
  </w:style>
  <w:style w:type="paragraph" w:customStyle="1" w:styleId="91">
    <w:name w:val="附录章标题"/>
    <w:basedOn w:val="90"/>
    <w:next w:val="44"/>
    <w:link w:val="95"/>
    <w:autoRedefine/>
    <w:qFormat/>
    <w:uiPriority w:val="0"/>
    <w:pPr>
      <w:numPr>
        <w:ilvl w:val="1"/>
      </w:numPr>
      <w:tabs>
        <w:tab w:val="clear" w:pos="360"/>
        <w:tab w:val="clear" w:pos="6405"/>
      </w:tabs>
      <w:spacing w:before="100" w:beforeLines="100" w:after="100" w:afterLines="100" w:line="240" w:lineRule="auto"/>
      <w:jc w:val="left"/>
    </w:pPr>
  </w:style>
  <w:style w:type="character" w:customStyle="1" w:styleId="92">
    <w:name w:val="附录标识 字符"/>
    <w:basedOn w:val="24"/>
    <w:link w:val="89"/>
    <w:autoRedefine/>
    <w:qFormat/>
    <w:uiPriority w:val="0"/>
    <w:rPr>
      <w:rFonts w:ascii="黑体" w:hAnsi="Times New Roman" w:eastAsia="黑体" w:cs="Times New Roman"/>
      <w:kern w:val="0"/>
      <w:szCs w:val="20"/>
      <w:shd w:val="clear" w:color="FFFFFF" w:fill="FFFFFF"/>
    </w:rPr>
  </w:style>
  <w:style w:type="character" w:customStyle="1" w:styleId="93">
    <w:name w:val="附录标题 字符"/>
    <w:basedOn w:val="92"/>
    <w:link w:val="90"/>
    <w:autoRedefine/>
    <w:qFormat/>
    <w:uiPriority w:val="0"/>
    <w:rPr>
      <w:rFonts w:ascii="黑体" w:hAnsi="Times New Roman" w:eastAsia="黑体" w:cs="Times New Roman"/>
      <w:kern w:val="0"/>
      <w:szCs w:val="20"/>
      <w:shd w:val="clear" w:color="FFFFFF" w:fill="FFFFFF"/>
    </w:rPr>
  </w:style>
  <w:style w:type="paragraph" w:customStyle="1" w:styleId="94">
    <w:name w:val="标准文件_正文图标题"/>
    <w:next w:val="1"/>
    <w:autoRedefine/>
    <w:qFormat/>
    <w:uiPriority w:val="99"/>
    <w:pPr>
      <w:numPr>
        <w:ilvl w:val="0"/>
        <w:numId w:val="6"/>
      </w:numPr>
      <w:jc w:val="center"/>
    </w:pPr>
    <w:rPr>
      <w:rFonts w:ascii="黑体" w:hAnsi="Times New Roman" w:eastAsia="黑体" w:cs="黑体"/>
      <w:sz w:val="21"/>
      <w:szCs w:val="21"/>
      <w:lang w:val="en-US" w:eastAsia="zh-CN" w:bidi="ar-SA"/>
    </w:rPr>
  </w:style>
  <w:style w:type="character" w:customStyle="1" w:styleId="95">
    <w:name w:val="附录章标题 字符"/>
    <w:basedOn w:val="93"/>
    <w:link w:val="91"/>
    <w:autoRedefine/>
    <w:qFormat/>
    <w:uiPriority w:val="0"/>
    <w:rPr>
      <w:rFonts w:ascii="黑体" w:hAnsi="Times New Roman" w:eastAsia="黑体" w:cs="Times New Roman"/>
      <w:kern w:val="0"/>
      <w:szCs w:val="20"/>
      <w:shd w:val="clear" w:color="FFFFFF" w:fill="FFFFFF"/>
    </w:rPr>
  </w:style>
  <w:style w:type="paragraph" w:customStyle="1" w:styleId="96">
    <w:name w:val="正文图标题"/>
    <w:next w:val="44"/>
    <w:autoRedefine/>
    <w:qFormat/>
    <w:uiPriority w:val="99"/>
    <w:pPr>
      <w:tabs>
        <w:tab w:val="left" w:pos="360"/>
      </w:tabs>
      <w:spacing w:beforeLines="50" w:afterLines="50"/>
      <w:ind w:left="823" w:hanging="420"/>
      <w:jc w:val="center"/>
    </w:pPr>
    <w:rPr>
      <w:rFonts w:ascii="黑体" w:hAnsi="Times New Roman" w:eastAsia="黑体" w:cs="黑体"/>
      <w:sz w:val="21"/>
      <w:szCs w:val="21"/>
      <w:lang w:val="en-US" w:eastAsia="zh-CN" w:bidi="ar-SA"/>
    </w:rPr>
  </w:style>
  <w:style w:type="paragraph" w:customStyle="1" w:styleId="97">
    <w:name w:val="标准称谓"/>
    <w:next w:val="1"/>
    <w:autoRedefine/>
    <w:qFormat/>
    <w:uiPriority w:val="99"/>
    <w:pPr>
      <w:framePr w:w="9638" w:h="754" w:hRule="exact" w:hSpace="180" w:vSpace="180" w:wrap="auto" w:vAnchor="page" w:hAnchor="margin" w:xAlign="center" w:y="2128" w:anchorLock="1"/>
      <w:widowControl w:val="0"/>
      <w:kinsoku w:val="0"/>
      <w:overflowPunct w:val="0"/>
      <w:autoSpaceDE w:val="0"/>
      <w:autoSpaceDN w:val="0"/>
      <w:spacing w:line="240" w:lineRule="atLeast"/>
      <w:jc w:val="distribute"/>
    </w:pPr>
    <w:rPr>
      <w:rFonts w:ascii="宋体" w:hAnsi="Times New Roman" w:eastAsia="宋体" w:cs="宋体"/>
      <w:b/>
      <w:bCs/>
      <w:w w:val="148"/>
      <w:sz w:val="52"/>
      <w:szCs w:val="52"/>
      <w:lang w:val="en-US" w:eastAsia="zh-CN" w:bidi="ar-SA"/>
    </w:rPr>
  </w:style>
  <w:style w:type="paragraph" w:customStyle="1" w:styleId="98">
    <w:name w:val="标准文件_页脚偶数页"/>
    <w:autoRedefine/>
    <w:qFormat/>
    <w:uiPriority w:val="99"/>
    <w:rPr>
      <w:rFonts w:ascii="宋体" w:hAnsi="Times New Roman" w:eastAsia="宋体" w:cs="宋体"/>
      <w:sz w:val="18"/>
      <w:szCs w:val="18"/>
      <w:lang w:val="en-US" w:eastAsia="zh-CN" w:bidi="ar-SA"/>
    </w:rPr>
  </w:style>
  <w:style w:type="paragraph" w:customStyle="1" w:styleId="99">
    <w:name w:val="附录一级条标题"/>
    <w:basedOn w:val="91"/>
    <w:next w:val="44"/>
    <w:link w:val="100"/>
    <w:autoRedefine/>
    <w:qFormat/>
    <w:uiPriority w:val="0"/>
    <w:pPr>
      <w:numPr>
        <w:ilvl w:val="2"/>
      </w:numPr>
      <w:spacing w:before="156" w:beforeLines="50" w:after="156" w:afterLines="50"/>
    </w:pPr>
  </w:style>
  <w:style w:type="character" w:customStyle="1" w:styleId="100">
    <w:name w:val="附录一级条标题 字符"/>
    <w:basedOn w:val="95"/>
    <w:link w:val="99"/>
    <w:autoRedefine/>
    <w:qFormat/>
    <w:uiPriority w:val="0"/>
    <w:rPr>
      <w:rFonts w:ascii="黑体" w:hAnsi="Times New Roman" w:eastAsia="黑体" w:cs="Times New Roman"/>
      <w:kern w:val="0"/>
      <w:szCs w:val="20"/>
      <w:shd w:val="clear" w:color="FFFFFF" w:fill="FFFFFF"/>
    </w:rPr>
  </w:style>
  <w:style w:type="paragraph" w:customStyle="1" w:styleId="101">
    <w:name w:val="附录图标题"/>
    <w:basedOn w:val="90"/>
    <w:next w:val="44"/>
    <w:link w:val="103"/>
    <w:autoRedefine/>
    <w:qFormat/>
    <w:uiPriority w:val="0"/>
    <w:pPr>
      <w:numPr>
        <w:ilvl w:val="0"/>
        <w:numId w:val="7"/>
      </w:numPr>
      <w:spacing w:before="50" w:beforeLines="50" w:after="50" w:afterLines="50" w:line="240" w:lineRule="auto"/>
    </w:pPr>
    <w:rPr>
      <w:rFonts w:ascii="Times New Roman"/>
    </w:rPr>
  </w:style>
  <w:style w:type="paragraph" w:customStyle="1" w:styleId="102">
    <w:name w:val="附录表标题"/>
    <w:basedOn w:val="1"/>
    <w:next w:val="44"/>
    <w:autoRedefine/>
    <w:qFormat/>
    <w:uiPriority w:val="0"/>
    <w:pPr>
      <w:tabs>
        <w:tab w:val="left" w:pos="180"/>
      </w:tabs>
      <w:adjustRightInd/>
      <w:spacing w:beforeLines="50" w:afterLines="50" w:line="240" w:lineRule="auto"/>
      <w:jc w:val="center"/>
    </w:pPr>
    <w:rPr>
      <w:rFonts w:ascii="黑体" w:hAnsi="Times New Roman" w:eastAsia="黑体" w:cs="Times New Roman"/>
    </w:rPr>
  </w:style>
  <w:style w:type="character" w:customStyle="1" w:styleId="103">
    <w:name w:val="附录图标题 字符"/>
    <w:basedOn w:val="93"/>
    <w:link w:val="101"/>
    <w:autoRedefine/>
    <w:qFormat/>
    <w:uiPriority w:val="0"/>
    <w:rPr>
      <w:rFonts w:ascii="Times New Roman" w:hAnsi="Times New Roman" w:eastAsia="黑体" w:cs="Times New Roman"/>
      <w:kern w:val="0"/>
      <w:szCs w:val="20"/>
      <w:shd w:val="clear" w:color="FFFFFF" w:fill="FFFFFF"/>
    </w:rPr>
  </w:style>
  <w:style w:type="paragraph" w:customStyle="1" w:styleId="104">
    <w:name w:val="样式1"/>
    <w:basedOn w:val="89"/>
    <w:next w:val="44"/>
    <w:link w:val="105"/>
    <w:autoRedefine/>
    <w:qFormat/>
    <w:uiPriority w:val="0"/>
    <w:pPr>
      <w:spacing w:before="312" w:after="312"/>
    </w:pPr>
  </w:style>
  <w:style w:type="character" w:customStyle="1" w:styleId="105">
    <w:name w:val="样式1 字符"/>
    <w:basedOn w:val="92"/>
    <w:link w:val="104"/>
    <w:autoRedefine/>
    <w:qFormat/>
    <w:uiPriority w:val="0"/>
    <w:rPr>
      <w:rFonts w:ascii="黑体" w:hAnsi="Times New Roman" w:eastAsia="黑体" w:cs="Times New Roman"/>
      <w:kern w:val="0"/>
      <w:szCs w:val="20"/>
      <w:shd w:val="clear" w:color="FFFFFF" w:fill="FFFFFF"/>
    </w:rPr>
  </w:style>
  <w:style w:type="paragraph" w:customStyle="1" w:styleId="106">
    <w:name w:val="附录图标题1"/>
    <w:basedOn w:val="17"/>
    <w:next w:val="44"/>
    <w:link w:val="108"/>
    <w:autoRedefine/>
    <w:qFormat/>
    <w:uiPriority w:val="0"/>
    <w:pPr>
      <w:spacing w:before="156" w:beforeLines="50" w:after="156" w:afterLines="50" w:line="240" w:lineRule="auto"/>
    </w:pPr>
    <w:rPr>
      <w:rFonts w:ascii="Times New Roman" w:hAnsi="Times New Roman" w:eastAsia="黑体"/>
      <w:b w:val="0"/>
      <w:sz w:val="21"/>
    </w:rPr>
  </w:style>
  <w:style w:type="paragraph" w:customStyle="1" w:styleId="107">
    <w:name w:val="附录表标题1"/>
    <w:basedOn w:val="106"/>
    <w:next w:val="44"/>
    <w:link w:val="109"/>
    <w:autoRedefine/>
    <w:qFormat/>
    <w:uiPriority w:val="0"/>
    <w:pPr>
      <w:spacing w:before="50" w:after="50"/>
    </w:pPr>
  </w:style>
  <w:style w:type="character" w:customStyle="1" w:styleId="108">
    <w:name w:val="附录图标题1 字符"/>
    <w:basedOn w:val="45"/>
    <w:link w:val="106"/>
    <w:autoRedefine/>
    <w:qFormat/>
    <w:uiPriority w:val="0"/>
    <w:rPr>
      <w:rFonts w:ascii="Times New Roman" w:hAnsi="Times New Roman" w:eastAsia="黑体"/>
      <w:b w:val="0"/>
      <w:kern w:val="28"/>
      <w:sz w:val="32"/>
      <w:szCs w:val="32"/>
    </w:rPr>
  </w:style>
  <w:style w:type="character" w:customStyle="1" w:styleId="109">
    <w:name w:val="附录表标题1 字符"/>
    <w:basedOn w:val="108"/>
    <w:link w:val="107"/>
    <w:autoRedefine/>
    <w:qFormat/>
    <w:uiPriority w:val="0"/>
    <w:rPr>
      <w:rFonts w:ascii="Times New Roman" w:hAnsi="Times New Roman" w:eastAsia="黑体"/>
      <w:kern w:val="28"/>
      <w:sz w:val="32"/>
      <w:szCs w:val="32"/>
    </w:rPr>
  </w:style>
  <w:style w:type="paragraph" w:customStyle="1" w:styleId="110">
    <w:name w:val="参考文献、索引"/>
    <w:basedOn w:val="47"/>
    <w:next w:val="44"/>
    <w:link w:val="111"/>
    <w:autoRedefine/>
    <w:qFormat/>
    <w:uiPriority w:val="0"/>
    <w:pPr>
      <w:spacing w:after="284"/>
    </w:pPr>
    <w:rPr>
      <w:rFonts w:ascii="黑体"/>
      <w:sz w:val="21"/>
    </w:rPr>
  </w:style>
  <w:style w:type="character" w:customStyle="1" w:styleId="111">
    <w:name w:val="参考文献、索引 字符"/>
    <w:basedOn w:val="48"/>
    <w:link w:val="110"/>
    <w:autoRedefine/>
    <w:qFormat/>
    <w:uiPriority w:val="0"/>
    <w:rPr>
      <w:rFonts w:ascii="黑体" w:eastAsia="黑体" w:hAnsiTheme="majorHAnsi" w:cstheme="majorBidi"/>
      <w:sz w:val="32"/>
      <w:szCs w:val="32"/>
    </w:rPr>
  </w:style>
  <w:style w:type="character" w:customStyle="1" w:styleId="112">
    <w:name w:val="未处理的提及1"/>
    <w:basedOn w:val="24"/>
    <w:autoRedefine/>
    <w:semiHidden/>
    <w:unhideWhenUsed/>
    <w:qFormat/>
    <w:uiPriority w:val="99"/>
    <w:rPr>
      <w:color w:val="605E5C"/>
      <w:shd w:val="clear" w:color="auto" w:fill="E1DFDD"/>
    </w:rPr>
  </w:style>
  <w:style w:type="character" w:customStyle="1" w:styleId="113">
    <w:name w:val="日期 字符"/>
    <w:basedOn w:val="24"/>
    <w:link w:val="12"/>
    <w:autoRedefine/>
    <w:semiHidden/>
    <w:qFormat/>
    <w:uiPriority w:val="99"/>
    <w:rPr>
      <w:rFonts w:ascii="Calibri" w:hAnsi="Calibri" w:eastAsia="宋体" w:cs="Calibri"/>
      <w:szCs w:val="21"/>
    </w:rPr>
  </w:style>
  <w:style w:type="paragraph" w:customStyle="1" w:styleId="114">
    <w:name w:val="修订1"/>
    <w:autoRedefine/>
    <w:hidden/>
    <w:semiHidden/>
    <w:qFormat/>
    <w:uiPriority w:val="99"/>
    <w:rPr>
      <w:rFonts w:ascii="Calibri" w:hAnsi="Calibri" w:eastAsia="宋体" w:cs="Calibri"/>
      <w:kern w:val="2"/>
      <w:sz w:val="21"/>
      <w:szCs w:val="21"/>
      <w:lang w:val="en-US" w:eastAsia="zh-CN" w:bidi="ar-SA"/>
    </w:rPr>
  </w:style>
  <w:style w:type="character" w:customStyle="1" w:styleId="115">
    <w:name w:val="markedcontent"/>
    <w:basedOn w:val="24"/>
    <w:autoRedefine/>
    <w:qFormat/>
    <w:uiPriority w:val="0"/>
  </w:style>
  <w:style w:type="character" w:customStyle="1" w:styleId="116">
    <w:name w:val="en-code"/>
    <w:basedOn w:val="24"/>
    <w:autoRedefine/>
    <w:qFormat/>
    <w:uiPriority w:val="0"/>
  </w:style>
  <w:style w:type="character" w:customStyle="1" w:styleId="117">
    <w:name w:val="content-right_8zs40"/>
    <w:basedOn w:val="24"/>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0FDE99-7E7E-4254-9612-8CEF707725D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3308</Words>
  <Characters>3929</Characters>
  <Lines>113</Lines>
  <Paragraphs>32</Paragraphs>
  <TotalTime>1</TotalTime>
  <ScaleCrop>false</ScaleCrop>
  <LinksUpToDate>false</LinksUpToDate>
  <CharactersWithSpaces>4172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2023-03-31T09:25:00Z</dcterms:created>
  <dc:creator>段彦芳</dc:creator>
  <cp:lastModifiedBy>杨猛</cp:lastModifiedBy>
  <cp:lastPrinted>2019-02-21T06:44:00Z</cp:lastPrinted>
  <dcterms:modified xsi:type="dcterms:W3CDTF">2026-10-10T07:41:20Z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F8D37BB998D447B098ECE95B1A37A9DD_13</vt:lpwstr>
  </property>
  <property fmtid="{D5CDD505-2E9C-101B-9397-08002B2CF9AE}" pid="4" name="KSOTemplateDocerSaveRecord">
    <vt:lpwstr>eyJoZGlkIjoiZjFmZWIzNDg2MmIzZjExOTIzMmViNTBmYTMwYTk0ZWYiLCJ1c2VySWQiOiIyMjIwNTI5MjkifQ==</vt:lpwstr>
  </property>
</Properties>
</file>